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41" w:rightFromText="141" w:topFromText="0" w:bottomFromText="0" w:vertAnchor="margin" w:horzAnchor="margin" w:tblpX="0" w:tblpY="0"/>
        <w:tblW w:w="9214.0" w:type="dxa"/>
        <w:jc w:val="left"/>
        <w:tblLayout w:type="fixed"/>
        <w:tblLook w:val="0000"/>
      </w:tblPr>
      <w:tblGrid>
        <w:gridCol w:w="9214"/>
        <w:tblGridChange w:id="0">
          <w:tblGrid>
            <w:gridCol w:w="9214"/>
          </w:tblGrid>
        </w:tblGridChange>
      </w:tblGrid>
      <w:tr>
        <w:trPr>
          <w:cantSplit w:val="0"/>
          <w:tblHeader w:val="0"/>
        </w:trPr>
        <w:tc>
          <w:tcPr>
            <w:vAlign w:val="top"/>
          </w:tcPr>
          <w:p w:rsidR="00000000" w:rsidDel="00000000" w:rsidP="00000000" w:rsidRDefault="00000000" w:rsidRPr="00000000" w14:paraId="00000002">
            <w:pPr>
              <w:jc w:val="cente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0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4">
            <w:pPr>
              <w:jc w:val="cente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Pr>
              <w:drawing>
                <wp:inline distB="0" distT="0" distL="114300" distR="114300">
                  <wp:extent cx="3495675" cy="1304925"/>
                  <wp:effectExtent b="0" l="0" r="0" t="0"/>
                  <wp:docPr id="102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495675" cy="13049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Dirección General de Educación Superior</w:t>
            </w:r>
            <w:r w:rsidDel="00000000" w:rsidR="00000000" w:rsidRPr="00000000">
              <w:rPr>
                <w:rtl w:val="0"/>
              </w:rPr>
            </w:r>
          </w:p>
          <w:p w:rsidR="00000000" w:rsidDel="00000000" w:rsidP="00000000" w:rsidRDefault="00000000" w:rsidRPr="00000000" w14:paraId="00000008">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Instituto Superior de Formación Docente N° 803</w:t>
            </w:r>
            <w:r w:rsidDel="00000000" w:rsidR="00000000" w:rsidRPr="00000000">
              <w:rPr>
                <w:rtl w:val="0"/>
              </w:rPr>
            </w:r>
          </w:p>
          <w:p w:rsidR="00000000" w:rsidDel="00000000" w:rsidP="00000000" w:rsidRDefault="00000000" w:rsidRPr="00000000" w14:paraId="00000009">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Puerto Madryn</w:t>
            </w:r>
            <w:r w:rsidDel="00000000" w:rsidR="00000000" w:rsidRPr="00000000">
              <w:rPr>
                <w:rtl w:val="0"/>
              </w:rPr>
            </w:r>
          </w:p>
          <w:p w:rsidR="00000000" w:rsidDel="00000000" w:rsidP="00000000" w:rsidRDefault="00000000" w:rsidRPr="00000000" w14:paraId="0000000A">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B">
            <w:pPr>
              <w:shd w:fill="000000" w:val="clear"/>
              <w:jc w:val="center"/>
              <w:rPr>
                <w:rFonts w:ascii="Arial" w:cs="Arial" w:eastAsia="Arial" w:hAnsi="Arial"/>
                <w:b w:val="0"/>
                <w:bCs w:val="0"/>
                <w:color w:val="ffffff"/>
                <w:sz w:val="22"/>
                <w:szCs w:val="22"/>
                <w:vertAlign w:val="baseline"/>
              </w:rPr>
            </w:pPr>
            <w:r w:rsidDel="00000000" w:rsidR="00000000" w:rsidRPr="00000000">
              <w:rPr>
                <w:rFonts w:ascii="Arial" w:cs="Arial" w:eastAsia="Arial" w:hAnsi="Arial"/>
                <w:b w:val="1"/>
                <w:bCs w:val="1"/>
                <w:color w:val="ffffff"/>
                <w:sz w:val="22"/>
                <w:szCs w:val="22"/>
                <w:vertAlign w:val="baseline"/>
                <w:rtl w:val="0"/>
              </w:rPr>
              <w:t xml:space="preserve">P R O G R A M A   202</w:t>
            </w:r>
            <w:r w:rsidDel="00000000" w:rsidR="00000000" w:rsidRPr="00000000">
              <w:rPr>
                <w:rFonts w:ascii="Arial" w:cs="Arial" w:eastAsia="Arial" w:hAnsi="Arial"/>
                <w:b w:val="1"/>
                <w:bCs w:val="1"/>
                <w:color w:val="ffffff"/>
                <w:sz w:val="22"/>
                <w:szCs w:val="22"/>
                <w:rtl w:val="0"/>
              </w:rPr>
              <w:t xml:space="preserve">6</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vertAlign w:val="baseline"/>
              </w:rPr>
            </w:pPr>
            <w:r w:rsidDel="00000000" w:rsidR="00000000" w:rsidRPr="00000000">
              <w:rPr>
                <w:rFonts w:ascii="Arial" w:cs="Arial" w:eastAsia="Arial" w:hAnsi="Arial"/>
                <w:vertAlign w:val="baseline"/>
                <w:rtl w:val="0"/>
              </w:rPr>
              <w:t xml:space="preserve">Carrera:</w:t>
            </w:r>
          </w:p>
          <w:tbl>
            <w:tblPr>
              <w:tblStyle w:val="Table2"/>
              <w:tblW w:w="919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199"/>
              <w:tblGridChange w:id="0">
                <w:tblGrid>
                  <w:gridCol w:w="9199"/>
                </w:tblGrid>
              </w:tblGridChange>
            </w:tblGrid>
            <w:tr>
              <w:trPr>
                <w:cantSplit w:val="0"/>
                <w:tblHeader w:val="0"/>
              </w:trPr>
              <w:tc>
                <w:tcPr>
                  <w:vAlign w:val="top"/>
                </w:tcPr>
                <w:p w:rsidR="00000000" w:rsidDel="00000000" w:rsidP="00000000" w:rsidRDefault="00000000" w:rsidRPr="00000000" w14:paraId="0000000F">
                  <w:pP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Profesorado de Educación Secundaria en </w:t>
                  </w:r>
                  <w:r w:rsidDel="00000000" w:rsidR="00000000" w:rsidRPr="00000000">
                    <w:rPr>
                      <w:rFonts w:ascii="Arial" w:cs="Arial" w:eastAsia="Arial" w:hAnsi="Arial"/>
                      <w:b w:val="1"/>
                      <w:bCs w:val="1"/>
                      <w:rtl w:val="0"/>
                    </w:rPr>
                    <w:t xml:space="preserve">Lengua y Literatura </w:t>
                  </w:r>
                  <w:r w:rsidDel="00000000" w:rsidR="00000000" w:rsidRPr="00000000">
                    <w:rPr>
                      <w:rFonts w:ascii="Arial" w:cs="Arial" w:eastAsia="Arial" w:hAnsi="Arial"/>
                      <w:b w:val="1"/>
                      <w:bCs w:val="1"/>
                      <w:vertAlign w:val="baseline"/>
                      <w:rtl w:val="0"/>
                    </w:rPr>
                    <w:t xml:space="preserve">- RES </w:t>
                  </w:r>
                  <w:r w:rsidDel="00000000" w:rsidR="00000000" w:rsidRPr="00000000">
                    <w:rPr>
                      <w:rFonts w:ascii="Arial" w:cs="Arial" w:eastAsia="Arial" w:hAnsi="Arial"/>
                      <w:b w:val="1"/>
                      <w:bCs w:val="1"/>
                      <w:rtl w:val="0"/>
                    </w:rPr>
                    <w:t xml:space="preserve">Nº 536</w:t>
                  </w:r>
                  <w:r w:rsidDel="00000000" w:rsidR="00000000" w:rsidRPr="00000000">
                    <w:rPr>
                      <w:rFonts w:ascii="Arial" w:cs="Arial" w:eastAsia="Arial" w:hAnsi="Arial"/>
                      <w:b w:val="1"/>
                      <w:bCs w:val="1"/>
                      <w:vertAlign w:val="baseline"/>
                      <w:rtl w:val="0"/>
                    </w:rPr>
                    <w:t xml:space="preserve">/19</w:t>
                  </w:r>
                  <w:r w:rsidDel="00000000" w:rsidR="00000000" w:rsidRPr="00000000">
                    <w:rPr>
                      <w:rtl w:val="0"/>
                    </w:rPr>
                  </w:r>
                </w:p>
              </w:tc>
            </w:tr>
          </w:tbl>
          <w:p w:rsidR="00000000" w:rsidDel="00000000" w:rsidP="00000000" w:rsidRDefault="00000000" w:rsidRPr="00000000" w14:paraId="0000001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1">
            <w:pPr>
              <w:rPr>
                <w:rFonts w:ascii="Arial" w:cs="Arial" w:eastAsia="Arial" w:hAnsi="Arial"/>
                <w:vertAlign w:val="baseline"/>
              </w:rPr>
            </w:pPr>
            <w:r w:rsidDel="00000000" w:rsidR="00000000" w:rsidRPr="00000000">
              <w:rPr>
                <w:rFonts w:ascii="Arial" w:cs="Arial" w:eastAsia="Arial" w:hAnsi="Arial"/>
                <w:vertAlign w:val="baseline"/>
                <w:rtl w:val="0"/>
              </w:rPr>
              <w:t xml:space="preserve">Espacio curricular                                                         Equipo Docente</w:t>
            </w:r>
          </w:p>
          <w:tbl>
            <w:tblPr>
              <w:tblStyle w:val="Table3"/>
              <w:tblW w:w="919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99"/>
              <w:gridCol w:w="4600"/>
              <w:tblGridChange w:id="0">
                <w:tblGrid>
                  <w:gridCol w:w="4599"/>
                  <w:gridCol w:w="4600"/>
                </w:tblGrid>
              </w:tblGridChange>
            </w:tblGrid>
            <w:tr>
              <w:trPr>
                <w:cantSplit w:val="0"/>
                <w:tblHeader w:val="0"/>
              </w:trPr>
              <w:tc>
                <w:tcPr>
                  <w:vAlign w:val="center"/>
                </w:tcPr>
                <w:p w:rsidR="00000000" w:rsidDel="00000000" w:rsidP="00000000" w:rsidRDefault="00000000" w:rsidRPr="00000000" w14:paraId="0000001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3">
                  <w:pPr>
                    <w:rPr>
                      <w:rFonts w:ascii="Arial" w:cs="Arial" w:eastAsia="Arial" w:hAnsi="Arial"/>
                      <w:vertAlign w:val="baseline"/>
                    </w:rPr>
                  </w:pPr>
                  <w:r w:rsidDel="00000000" w:rsidR="00000000" w:rsidRPr="00000000">
                    <w:rPr>
                      <w:rFonts w:ascii="Arial" w:cs="Arial" w:eastAsia="Arial" w:hAnsi="Arial"/>
                      <w:vertAlign w:val="baseline"/>
                      <w:rtl w:val="0"/>
                    </w:rPr>
                    <w:t xml:space="preserve">Psicología Educacional</w:t>
                  </w:r>
                </w:p>
                <w:p w:rsidR="00000000" w:rsidDel="00000000" w:rsidP="00000000" w:rsidRDefault="00000000" w:rsidRPr="00000000" w14:paraId="00000014">
                  <w:pPr>
                    <w:rPr>
                      <w:rFonts w:ascii="Arial" w:cs="Arial" w:eastAsia="Arial" w:hAnsi="Arial"/>
                      <w:vertAlign w:val="baseline"/>
                    </w:rPr>
                  </w:pPr>
                  <w:r w:rsidDel="00000000" w:rsidR="00000000" w:rsidRPr="00000000">
                    <w:rPr>
                      <w:rtl w:val="0"/>
                    </w:rPr>
                  </w:r>
                </w:p>
              </w:tc>
              <w:tc>
                <w:tcPr>
                  <w:vAlign w:val="center"/>
                </w:tcPr>
                <w:p w:rsidR="00000000" w:rsidDel="00000000" w:rsidP="00000000" w:rsidRDefault="00000000" w:rsidRPr="00000000" w14:paraId="00000015">
                  <w:pPr>
                    <w:rPr>
                      <w:rFonts w:ascii="Arial" w:cs="Arial" w:eastAsia="Arial" w:hAnsi="Arial"/>
                      <w:vertAlign w:val="baseline"/>
                    </w:rPr>
                  </w:pPr>
                  <w:r w:rsidDel="00000000" w:rsidR="00000000" w:rsidRPr="00000000">
                    <w:rPr>
                      <w:rFonts w:ascii="Arial" w:cs="Arial" w:eastAsia="Arial" w:hAnsi="Arial"/>
                      <w:vertAlign w:val="baseline"/>
                      <w:rtl w:val="0"/>
                    </w:rPr>
                    <w:t xml:space="preserve">Prof. y Lic. Castelnuovo Renata Sabrina</w:t>
                  </w:r>
                </w:p>
              </w:tc>
            </w:tr>
          </w:tbl>
          <w:p w:rsidR="00000000" w:rsidDel="00000000" w:rsidP="00000000" w:rsidRDefault="00000000" w:rsidRPr="00000000" w14:paraId="0000001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7">
            <w:pPr>
              <w:rPr>
                <w:rFonts w:ascii="Arial" w:cs="Arial" w:eastAsia="Arial" w:hAnsi="Arial"/>
                <w:vertAlign w:val="baseline"/>
              </w:rPr>
            </w:pPr>
            <w:r w:rsidDel="00000000" w:rsidR="00000000" w:rsidRPr="00000000">
              <w:rPr>
                <w:rtl w:val="0"/>
              </w:rPr>
            </w:r>
          </w:p>
        </w:tc>
      </w:tr>
    </w:tbl>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pBdr>
        <w:shd w:fill="0d0d0d" w:val="clear"/>
        <w:jc w:val="both"/>
        <w:rPr>
          <w:rFonts w:ascii="Arial" w:cs="Arial" w:eastAsia="Arial" w:hAnsi="Arial"/>
          <w:b w:val="0"/>
          <w:bCs w:val="0"/>
          <w:color w:val="ffffff"/>
          <w:vertAlign w:val="baseline"/>
        </w:rPr>
      </w:pPr>
      <w:r w:rsidDel="00000000" w:rsidR="00000000" w:rsidRPr="00000000">
        <w:rPr>
          <w:rFonts w:ascii="Arial" w:cs="Arial" w:eastAsia="Arial" w:hAnsi="Arial"/>
          <w:b w:val="1"/>
          <w:bCs w:val="1"/>
          <w:color w:val="ffffff"/>
          <w:vertAlign w:val="baseline"/>
          <w:rtl w:val="0"/>
        </w:rPr>
        <w:t xml:space="preserve">1. FUNDAMENTACIÓN </w:t>
      </w:r>
      <w:r w:rsidDel="00000000" w:rsidR="00000000" w:rsidRPr="00000000">
        <w:rPr>
          <w:rtl w:val="0"/>
        </w:rPr>
      </w:r>
    </w:p>
    <w:p w:rsidR="00000000" w:rsidDel="00000000" w:rsidP="00000000" w:rsidRDefault="00000000" w:rsidRPr="00000000" w14:paraId="00000019">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A">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El propósito de esta asignatura es que los futuros/as docentes adquieran herramientas cognitivas necesarias para posicionarse frente a los actores partícipes de la educación, como sujetos que transitan procesos de desarrollo subjetivo y que en el transitar la escuela, forman parte de la construcción del dispositivo escolar. </w:t>
      </w:r>
    </w:p>
    <w:p w:rsidR="00000000" w:rsidDel="00000000" w:rsidP="00000000" w:rsidRDefault="00000000" w:rsidRPr="00000000" w14:paraId="0000001B">
      <w:pPr>
        <w:spacing w:after="240" w:lineRule="auto"/>
        <w:jc w:val="both"/>
        <w:rPr>
          <w:rFonts w:ascii="Arial" w:cs="Arial" w:eastAsia="Arial" w:hAnsi="Arial"/>
          <w:b w:val="0"/>
          <w:bCs w:val="0"/>
          <w:vertAlign w:val="baseline"/>
        </w:rPr>
      </w:pPr>
      <w:r w:rsidDel="00000000" w:rsidR="00000000" w:rsidRPr="00000000">
        <w:rPr>
          <w:rFonts w:ascii="Arial" w:cs="Arial" w:eastAsia="Arial" w:hAnsi="Arial"/>
          <w:vertAlign w:val="baseline"/>
          <w:rtl w:val="0"/>
        </w:rPr>
        <w:t xml:space="preserve">Por ello, la importancia de abordar diversos aportes de la psicología, que permitan reflexionar y producir conocimiento sobre los modelos psicológicos del aprendizaje, desarrollo y socialización. Los mismos, posibilitan la construcción de marcos conceptuales que permiten complejizar las relaciones entre el sujeto y el aprendizaje escolar, el conocimiento cotidiano y el escolar. Así mismo, el abordaje de los distintos enfoques psicológicos, desde una mirada crítica, aporta a la intervención en los diferentes escenarios educativos, los diferentes modelos psicológicos del aprendizaje con sus fortalezas y limitaciones. Analizar el aprendizaje, con especial énfasis en el aprendizaje escolar, aporta a la comprensión de su dinámica, riqueza y dimensiones, es un soporte fundamental para apoyar los procesos de mediación del docente en el diseño y la coordinación de la enseñanza. </w:t>
      </w:r>
      <w:r w:rsidDel="00000000" w:rsidR="00000000" w:rsidRPr="00000000">
        <w:rPr>
          <w:rFonts w:ascii="Arial" w:cs="Arial" w:eastAsia="Arial" w:hAnsi="Arial"/>
          <w:b w:val="1"/>
          <w:bCs w:val="1"/>
          <w:color w:val="ffffff"/>
          <w:vertAlign w:val="baseline"/>
          <w:rtl w:val="0"/>
        </w:rPr>
        <w:t xml:space="preserve">2. </w:t>
      </w:r>
      <w:r w:rsidDel="00000000" w:rsidR="00000000" w:rsidRPr="00000000">
        <w:rPr>
          <w:rtl w:val="0"/>
        </w:rPr>
      </w:r>
    </w:p>
    <w:p w:rsidR="00000000" w:rsidDel="00000000" w:rsidP="00000000" w:rsidRDefault="00000000" w:rsidRPr="00000000" w14:paraId="0000001C">
      <w:pPr>
        <w:spacing w:after="240" w:lineRule="auto"/>
        <w:jc w:val="both"/>
        <w:rPr>
          <w:rFonts w:ascii="Arial" w:cs="Arial" w:eastAsia="Arial" w:hAnsi="Arial"/>
          <w:b w:val="0"/>
          <w:bCs w:val="0"/>
          <w:u w:val="single"/>
          <w:vertAlign w:val="baseline"/>
        </w:rPr>
      </w:pPr>
      <w:r w:rsidDel="00000000" w:rsidR="00000000" w:rsidRPr="00000000">
        <w:rPr>
          <w:rFonts w:ascii="Arial" w:cs="Arial" w:eastAsia="Arial" w:hAnsi="Arial"/>
          <w:b w:val="1"/>
          <w:bCs w:val="1"/>
          <w:u w:val="single"/>
          <w:vertAlign w:val="baseline"/>
          <w:rtl w:val="0"/>
        </w:rPr>
        <w:t xml:space="preserve">OBJETIVOS</w:t>
      </w:r>
      <w:r w:rsidDel="00000000" w:rsidR="00000000" w:rsidRPr="00000000">
        <w:rPr>
          <w:rtl w:val="0"/>
        </w:rPr>
      </w:r>
    </w:p>
    <w:p w:rsidR="00000000" w:rsidDel="00000000" w:rsidP="00000000" w:rsidRDefault="00000000" w:rsidRPr="00000000" w14:paraId="0000001D">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Macro-objetivos</w:t>
      </w:r>
    </w:p>
    <w:p w:rsidR="00000000" w:rsidDel="00000000" w:rsidP="00000000" w:rsidRDefault="00000000" w:rsidRPr="00000000" w14:paraId="0000001E">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Comprender los estudios y conceptos básicos de la psicología como ciencia.</w:t>
      </w:r>
    </w:p>
    <w:p w:rsidR="00000000" w:rsidDel="00000000" w:rsidP="00000000" w:rsidRDefault="00000000" w:rsidRPr="00000000" w14:paraId="0000001F">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Abordar las diferentes teorías sobre el desarrollo cognitivo y social con énfasis en el</w:t>
      </w:r>
    </w:p>
    <w:p w:rsidR="00000000" w:rsidDel="00000000" w:rsidP="00000000" w:rsidRDefault="00000000" w:rsidRPr="00000000" w14:paraId="00000020">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proceso de aprendizaje.</w:t>
      </w:r>
    </w:p>
    <w:p w:rsidR="00000000" w:rsidDel="00000000" w:rsidP="00000000" w:rsidRDefault="00000000" w:rsidRPr="00000000" w14:paraId="00000021">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Incentivar un marco general de carácter reflexivo y crítico acerca de los alcances y</w:t>
      </w:r>
    </w:p>
    <w:p w:rsidR="00000000" w:rsidDel="00000000" w:rsidP="00000000" w:rsidRDefault="00000000" w:rsidRPr="00000000" w14:paraId="00000022">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profundidad de los conceptos dados.</w:t>
      </w:r>
    </w:p>
    <w:p w:rsidR="00000000" w:rsidDel="00000000" w:rsidP="00000000" w:rsidRDefault="00000000" w:rsidRPr="00000000" w14:paraId="00000023">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Abordar y reflexionar respecto de la concepción del niño en contexto educacional.</w:t>
      </w:r>
    </w:p>
    <w:p w:rsidR="00000000" w:rsidDel="00000000" w:rsidP="00000000" w:rsidRDefault="00000000" w:rsidRPr="00000000" w14:paraId="00000024">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Micro-objetivos</w:t>
      </w:r>
    </w:p>
    <w:p w:rsidR="00000000" w:rsidDel="00000000" w:rsidP="00000000" w:rsidRDefault="00000000" w:rsidRPr="00000000" w14:paraId="00000025">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Desarrollar marcos de reflexión acorde con situaciones susceptibles de ser</w:t>
      </w:r>
    </w:p>
    <w:p w:rsidR="00000000" w:rsidDel="00000000" w:rsidP="00000000" w:rsidRDefault="00000000" w:rsidRPr="00000000" w14:paraId="00000026">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trasladadas al ámbito de la actualidad local.</w:t>
      </w:r>
    </w:p>
    <w:p w:rsidR="00000000" w:rsidDel="00000000" w:rsidP="00000000" w:rsidRDefault="00000000" w:rsidRPr="00000000" w14:paraId="00000027">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 Proponer los conceptos en forma abierta a la discusión, prestando al debate</w:t>
      </w:r>
    </w:p>
    <w:p w:rsidR="00000000" w:rsidDel="00000000" w:rsidP="00000000" w:rsidRDefault="00000000" w:rsidRPr="00000000" w14:paraId="00000028">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constructivo en el aula.</w:t>
      </w:r>
    </w:p>
    <w:p w:rsidR="00000000" w:rsidDel="00000000" w:rsidP="00000000" w:rsidRDefault="00000000" w:rsidRPr="00000000" w14:paraId="00000029">
      <w:pPr>
        <w:pBdr>
          <w:top w:color="000000" w:space="1" w:sz="4" w:val="single"/>
          <w:left w:color="000000" w:space="4" w:sz="4" w:val="single"/>
          <w:bottom w:color="000000" w:space="1" w:sz="4" w:val="single"/>
          <w:right w:color="000000" w:space="4" w:sz="4" w:val="single"/>
        </w:pBdr>
        <w:shd w:fill="0d0d0d" w:val="clear"/>
        <w:spacing w:after="240" w:lineRule="auto"/>
        <w:jc w:val="both"/>
        <w:rPr>
          <w:rFonts w:ascii="Arial" w:cs="Arial" w:eastAsia="Arial" w:hAnsi="Arial"/>
          <w:b w:val="0"/>
          <w:bCs w:val="0"/>
          <w:color w:val="ffffff"/>
          <w:vertAlign w:val="baseline"/>
        </w:rPr>
      </w:pPr>
      <w:bookmarkStart w:colFirst="0" w:colLast="0" w:name="_heading=h.gjdgxs" w:id="0"/>
      <w:bookmarkEnd w:id="0"/>
      <w:r w:rsidDel="00000000" w:rsidR="00000000" w:rsidRPr="00000000">
        <w:rPr>
          <w:rFonts w:ascii="Arial" w:cs="Arial" w:eastAsia="Arial" w:hAnsi="Arial"/>
          <w:b w:val="1"/>
          <w:bCs w:val="1"/>
          <w:color w:val="ffffff"/>
          <w:vertAlign w:val="baseline"/>
          <w:rtl w:val="0"/>
        </w:rPr>
        <w:t xml:space="preserve">3. CONTENIDOS – BIBLIOGRAFÍA </w:t>
      </w:r>
      <w:r w:rsidDel="00000000" w:rsidR="00000000" w:rsidRPr="00000000">
        <w:rPr>
          <w:rtl w:val="0"/>
        </w:rPr>
      </w:r>
    </w:p>
    <w:p w:rsidR="00000000" w:rsidDel="00000000" w:rsidP="00000000" w:rsidRDefault="00000000" w:rsidRPr="00000000" w14:paraId="0000002A">
      <w:pPr>
        <w:spacing w:after="240" w:lineRule="auto"/>
        <w:jc w:val="both"/>
        <w:rPr>
          <w:rFonts w:ascii="Arial" w:cs="Arial" w:eastAsia="Arial" w:hAnsi="Arial"/>
          <w:vertAlign w:val="baseline"/>
        </w:rPr>
      </w:pPr>
      <w:r w:rsidDel="00000000" w:rsidR="00000000" w:rsidRPr="00000000">
        <w:rPr>
          <w:rFonts w:ascii="Arial" w:cs="Arial" w:eastAsia="Arial" w:hAnsi="Arial"/>
          <w:b w:val="1"/>
          <w:bCs w:val="1"/>
          <w:u w:val="single"/>
          <w:vertAlign w:val="baseline"/>
          <w:rtl w:val="0"/>
        </w:rPr>
        <w:t xml:space="preserve">EJE 1. Introducción a la Psicología educacional, y aportes de diferentes corrientes teóricas.</w:t>
      </w:r>
      <w:r w:rsidDel="00000000" w:rsidR="00000000" w:rsidRPr="00000000">
        <w:rPr>
          <w:rFonts w:ascii="Arial" w:cs="Arial" w:eastAsia="Arial" w:hAnsi="Arial"/>
          <w:vertAlign w:val="baseline"/>
          <w:rtl w:val="0"/>
        </w:rPr>
        <w:t xml:space="preserve"> Psicología y Educación: definición, objetivos y áreas. Teoría de la conducta: Conductismo de Watson y definición actual de conducta. Teoría Psicoanalítica: Constitución del Sujeto Psíquico, herencia-construcción. Sigmund Freud: aparato psíquico, identificación, desarrollo psicosexual. Teoría Psicogenética: Jean Piaget procesos de asimilación y acomodación, equilibración, estadios del desarrollo cognitivo. Teoría Sociohistórica: Lev Vigotsky, procesos psicológicos elementales y superiores, Interiorización, Instrumentos mediadores, Zona de Desarrollo próximo; Jerome Bruner, Andamiaje. Teorías cognitivas: A. Beck, procesamiento de la información; H. Gardner, inteligencias múltiples, D. Ausubel Aprendizaje Significativo. Prácticas educativas y procesos de escolarización. Relación Desarrollo, Aprendizaje y Enseñanza. </w:t>
      </w:r>
    </w:p>
    <w:p w:rsidR="00000000" w:rsidDel="00000000" w:rsidP="00000000" w:rsidRDefault="00000000" w:rsidRPr="00000000" w14:paraId="0000002B">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Bibliografía Obligatoria:</w:t>
      </w:r>
    </w:p>
    <w:p w:rsidR="00000000" w:rsidDel="00000000" w:rsidP="00000000" w:rsidRDefault="00000000" w:rsidRPr="00000000" w14:paraId="0000002C">
      <w:pPr>
        <w:numPr>
          <w:ilvl w:val="0"/>
          <w:numId w:val="3"/>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ARDILA, R. (2013). Los orígenes del conductismo, Watson y el manifiesto conductista de 1913. Revista Latinoamericana de psicología, Vol. 45 nro 2. Pp 315-319- Fundación Universitaria Konrad Lorenz. Bogotá, Colombia.</w:t>
      </w:r>
    </w:p>
    <w:p w:rsidR="00000000" w:rsidDel="00000000" w:rsidP="00000000" w:rsidRDefault="00000000" w:rsidRPr="00000000" w14:paraId="0000002D">
      <w:pPr>
        <w:numPr>
          <w:ilvl w:val="0"/>
          <w:numId w:val="3"/>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CASTELNUOVO, R. (2020). Introducción a la Psicología Educacional. Documento de Cátedra. Psicología Educacional, Instituto Superior de Formación Docente 803, Puerto Madryn.</w:t>
      </w:r>
    </w:p>
    <w:p w:rsidR="00000000" w:rsidDel="00000000" w:rsidP="00000000" w:rsidRDefault="00000000" w:rsidRPr="00000000" w14:paraId="0000002E">
      <w:pPr>
        <w:numPr>
          <w:ilvl w:val="0"/>
          <w:numId w:val="3"/>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CASTELNUOVO, R. (2020). Teorías Cognitivas. Documento de Cátedra. Psicología Educacional, Instituto Superior de Formación Docente 803, Puerto Madryn.</w:t>
      </w:r>
    </w:p>
    <w:p w:rsidR="00000000" w:rsidDel="00000000" w:rsidP="00000000" w:rsidRDefault="00000000" w:rsidRPr="00000000" w14:paraId="0000002F">
      <w:pPr>
        <w:numPr>
          <w:ilvl w:val="0"/>
          <w:numId w:val="3"/>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CASTELNUOVO, R. (2020). Crecimiento, maduración y desarrollo. Documento de Cátedra. Psicología Educacional, Instituto Superior de Formación Docente 803, Puerto Madryn.</w:t>
      </w:r>
    </w:p>
    <w:p w:rsidR="00000000" w:rsidDel="00000000" w:rsidP="00000000" w:rsidRDefault="00000000" w:rsidRPr="00000000" w14:paraId="00000030">
      <w:pPr>
        <w:numPr>
          <w:ilvl w:val="0"/>
          <w:numId w:val="3"/>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COLL, C. (1998). Psicología de la Educación. Edhasa. ISBN 8435069001,9788435069007</w:t>
      </w:r>
    </w:p>
    <w:p w:rsidR="00000000" w:rsidDel="00000000" w:rsidP="00000000" w:rsidRDefault="00000000" w:rsidRPr="00000000" w14:paraId="00000031">
      <w:pPr>
        <w:numPr>
          <w:ilvl w:val="0"/>
          <w:numId w:val="3"/>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GRASSI, A. y CORDOVA, N. (2010). La Primavera del significante en “Entre niños, adolescentes y relaciones parentales”. Pp 25-35.  Ed. Entreideas, Buenos Aires. </w:t>
      </w:r>
    </w:p>
    <w:p w:rsidR="00000000" w:rsidDel="00000000" w:rsidP="00000000" w:rsidRDefault="00000000" w:rsidRPr="00000000" w14:paraId="00000032">
      <w:pPr>
        <w:numPr>
          <w:ilvl w:val="0"/>
          <w:numId w:val="3"/>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LELIWA, S, SCANGARELLO, I (2011). Psicología y Educación, Cap. 2,3,4,5 y 6). Edit. Brujas, Córdoba. </w:t>
      </w:r>
    </w:p>
    <w:p w:rsidR="00000000" w:rsidDel="00000000" w:rsidP="00000000" w:rsidRDefault="00000000" w:rsidRPr="00000000" w14:paraId="00000033">
      <w:pPr>
        <w:numPr>
          <w:ilvl w:val="0"/>
          <w:numId w:val="3"/>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WOOLFOLK, A. (1999). Psicología educativa. Cap. 7. Teorías Cognoscitivas, selección de Ap. PRENTICE HALL, México. </w:t>
      </w:r>
    </w:p>
    <w:p w:rsidR="00000000" w:rsidDel="00000000" w:rsidP="00000000" w:rsidRDefault="00000000" w:rsidRPr="00000000" w14:paraId="00000034">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Bibliografía Complementaria:</w:t>
      </w:r>
    </w:p>
    <w:p w:rsidR="00000000" w:rsidDel="00000000" w:rsidP="00000000" w:rsidRDefault="00000000" w:rsidRPr="00000000" w14:paraId="00000035">
      <w:pPr>
        <w:numPr>
          <w:ilvl w:val="0"/>
          <w:numId w:val="4"/>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rtl w:val="0"/>
        </w:rPr>
        <w:t xml:space="preserve">BAQUERO, R. (2001). Vigostky y el aprendizaje escolar. Aique Grupo Editor S.A., Buenos Aires. </w:t>
      </w:r>
      <w:r w:rsidDel="00000000" w:rsidR="00000000" w:rsidRPr="00000000">
        <w:rPr>
          <w:rtl w:val="0"/>
        </w:rPr>
      </w:r>
    </w:p>
    <w:p w:rsidR="00000000" w:rsidDel="00000000" w:rsidP="00000000" w:rsidRDefault="00000000" w:rsidRPr="00000000" w14:paraId="00000036">
      <w:pPr>
        <w:numPr>
          <w:ilvl w:val="0"/>
          <w:numId w:val="4"/>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CAZDEN, C (1991). El discurso en el aula. Paidos, Barcelona.</w:t>
      </w:r>
    </w:p>
    <w:p w:rsidR="00000000" w:rsidDel="00000000" w:rsidP="00000000" w:rsidRDefault="00000000" w:rsidRPr="00000000" w14:paraId="00000037">
      <w:pPr>
        <w:numPr>
          <w:ilvl w:val="0"/>
          <w:numId w:val="4"/>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CASULLO, M.M. (1991). Psicología para docentes. Guadalupe, Buenos Aires.</w:t>
      </w:r>
    </w:p>
    <w:p w:rsidR="00000000" w:rsidDel="00000000" w:rsidP="00000000" w:rsidRDefault="00000000" w:rsidRPr="00000000" w14:paraId="00000038">
      <w:pPr>
        <w:numPr>
          <w:ilvl w:val="0"/>
          <w:numId w:val="4"/>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FREUD, S. (1996). “Esquema de Psicoanálisis”. En J. L. Etcheverry (Traduc.), Obras Completas: Sigmund Freud (Vol. 23, pp. 143-145; 150-154).Amorrortu, Buenos Aires.  (Trabajo original publicado 1939)</w:t>
      </w:r>
    </w:p>
    <w:p w:rsidR="00000000" w:rsidDel="00000000" w:rsidP="00000000" w:rsidRDefault="00000000" w:rsidRPr="00000000" w14:paraId="00000039">
      <w:pPr>
        <w:numPr>
          <w:ilvl w:val="0"/>
          <w:numId w:val="4"/>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GARCIA ALLEN, J. (07/2003). La Terapia Cognitiva de Aaron Beck. En Psicología y Mente [Artículo]. Recuperado de: https://psicologiaymente.com/clinica/terapia-cognitiva-aaron-beck [23/05/2019].</w:t>
      </w:r>
    </w:p>
    <w:p w:rsidR="00000000" w:rsidDel="00000000" w:rsidP="00000000" w:rsidRDefault="00000000" w:rsidRPr="00000000" w14:paraId="0000003A">
      <w:pPr>
        <w:numPr>
          <w:ilvl w:val="0"/>
          <w:numId w:val="4"/>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GONZÁLEZ ZEPEDA, ADRIANA (2004). Aportaciones de la psicología conductual a la educación. Revista Electrónica Sinéctica, Número 25(número de la revista), 15-22. Instituto Tecnológico y de Estudios Superiores de Occidente Jalisco, México. Recuperado de Redalyc.Aportaciones de la psicología conductual a la educación.</w:t>
      </w:r>
    </w:p>
    <w:p w:rsidR="00000000" w:rsidDel="00000000" w:rsidP="00000000" w:rsidRDefault="00000000" w:rsidRPr="00000000" w14:paraId="0000003B">
      <w:pPr>
        <w:numPr>
          <w:ilvl w:val="0"/>
          <w:numId w:val="4"/>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PIAGET, J. (1973). Estudios de psicología genética. Emece Editores, Buenos Aires.</w:t>
      </w:r>
    </w:p>
    <w:p w:rsidR="00000000" w:rsidDel="00000000" w:rsidP="00000000" w:rsidRDefault="00000000" w:rsidRPr="00000000" w14:paraId="0000003C">
      <w:pPr>
        <w:numPr>
          <w:ilvl w:val="0"/>
          <w:numId w:val="4"/>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WOOLFOLK, A. (1999). Psicología educativa. Cap. 1 “Maestros, la enseñanza y la Psicología Educacional”, selección de Ap.. PRENTICE HALL, México. </w:t>
      </w:r>
    </w:p>
    <w:p w:rsidR="00000000" w:rsidDel="00000000" w:rsidP="00000000" w:rsidRDefault="00000000" w:rsidRPr="00000000" w14:paraId="0000003D">
      <w:pPr>
        <w:spacing w:after="240" w:lineRule="auto"/>
        <w:jc w:val="both"/>
        <w:rPr>
          <w:rFonts w:ascii="Arial" w:cs="Arial" w:eastAsia="Arial" w:hAnsi="Arial"/>
          <w:b w:val="0"/>
          <w:bCs w:val="0"/>
          <w:u w:val="single"/>
          <w:vertAlign w:val="baseline"/>
        </w:rPr>
      </w:pPr>
      <w:r w:rsidDel="00000000" w:rsidR="00000000" w:rsidRPr="00000000">
        <w:rPr>
          <w:rFonts w:ascii="Arial" w:cs="Arial" w:eastAsia="Arial" w:hAnsi="Arial"/>
          <w:b w:val="1"/>
          <w:bCs w:val="1"/>
          <w:u w:val="single"/>
          <w:vertAlign w:val="baseline"/>
          <w:rtl w:val="0"/>
        </w:rPr>
        <w:t xml:space="preserve">EJE 2: Enseñanza y aprendizaje</w:t>
      </w:r>
      <w:r w:rsidDel="00000000" w:rsidR="00000000" w:rsidRPr="00000000">
        <w:rPr>
          <w:rtl w:val="0"/>
        </w:rPr>
      </w:r>
    </w:p>
    <w:p w:rsidR="00000000" w:rsidDel="00000000" w:rsidP="00000000" w:rsidRDefault="00000000" w:rsidRPr="00000000" w14:paraId="0000003E">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Aprendizaje y aprendizaje escolar. Constitución subjetiva. Berger y Luckmann: socialización primaria y secundaria. El deseo de aprender y el deseo de enseñar: objeto a. La motivación: pirámide de Maslow. Conocimiento espontáneo y conocimiento escolar. Modalidades de enseñanza y aprendizaje: hablar y escuchar; comprensión de textos.</w:t>
      </w:r>
    </w:p>
    <w:p w:rsidR="00000000" w:rsidDel="00000000" w:rsidP="00000000" w:rsidRDefault="00000000" w:rsidRPr="00000000" w14:paraId="0000003F">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Bibliografía Obligatoria </w:t>
      </w:r>
    </w:p>
    <w:p w:rsidR="00000000" w:rsidDel="00000000" w:rsidP="00000000" w:rsidRDefault="00000000" w:rsidRPr="00000000" w14:paraId="00000040">
      <w:pPr>
        <w:numPr>
          <w:ilvl w:val="0"/>
          <w:numId w:val="5"/>
        </w:numPr>
        <w:spacing w:after="240" w:lineRule="auto"/>
        <w:ind w:left="720" w:hanging="360"/>
        <w:jc w:val="both"/>
        <w:rPr>
          <w:rFonts w:ascii="Arial" w:cs="Arial" w:eastAsia="Arial" w:hAnsi="Arial"/>
        </w:rPr>
      </w:pPr>
      <w:r w:rsidDel="00000000" w:rsidR="00000000" w:rsidRPr="00000000">
        <w:rPr>
          <w:rFonts w:ascii="Arial" w:cs="Arial" w:eastAsia="Arial" w:hAnsi="Arial"/>
          <w:rtl w:val="0"/>
        </w:rPr>
        <w:t xml:space="preserve">ABUSAMRA, CASAJÚS, FERRERES, RAITER, DE BENI &amp;, CORNOLDI (2011). Programa Leer para Comprender. Desarrollo de la comprensión de textos. Paidós, Buenos Aires</w:t>
      </w:r>
    </w:p>
    <w:p w:rsidR="00000000" w:rsidDel="00000000" w:rsidP="00000000" w:rsidRDefault="00000000" w:rsidRPr="00000000" w14:paraId="00000041">
      <w:pPr>
        <w:numPr>
          <w:ilvl w:val="0"/>
          <w:numId w:val="5"/>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CASTELNUOVO, R. (2022). Procesos de Socialización Primaria y Secundaria. Documento de Cátedra. Psicología Educacional, Instituto Superior de Formación Docente 803, Puerto Madryn.</w:t>
      </w:r>
    </w:p>
    <w:p w:rsidR="00000000" w:rsidDel="00000000" w:rsidP="00000000" w:rsidRDefault="00000000" w:rsidRPr="00000000" w14:paraId="00000042">
      <w:pPr>
        <w:numPr>
          <w:ilvl w:val="0"/>
          <w:numId w:val="5"/>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LELIWA, S, SCANGARELLO, I (2011). Psicología y Educación. Cap.2 Constitución del Sujeto Psíquico. Edit. Brujas, Córdoba.</w:t>
      </w:r>
    </w:p>
    <w:p w:rsidR="00000000" w:rsidDel="00000000" w:rsidP="00000000" w:rsidRDefault="00000000" w:rsidRPr="00000000" w14:paraId="00000043">
      <w:pPr>
        <w:numPr>
          <w:ilvl w:val="0"/>
          <w:numId w:val="5"/>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RODRIGO, M. J. (1997) "El hombre de la calle, el científico y el alumno: ¿un solo constructivismo o tres?". Novedades Educativas, vol. 76, pp. 59-61.</w:t>
      </w:r>
    </w:p>
    <w:p w:rsidR="00000000" w:rsidDel="00000000" w:rsidP="00000000" w:rsidRDefault="00000000" w:rsidRPr="00000000" w14:paraId="00000044">
      <w:pPr>
        <w:numPr>
          <w:ilvl w:val="0"/>
          <w:numId w:val="5"/>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TAPIA, J. A. (1997). Cap. 1. Un problema: ¿qué hacer para motivar a mis alumnos?, Cap. 2 Razones de los alumnos y alumnas para trabajar en clase. En “Motivar para el aprendizaje”. Edebé. España.   Capitulo 1 y 2</w:t>
      </w:r>
    </w:p>
    <w:p w:rsidR="00000000" w:rsidDel="00000000" w:rsidP="00000000" w:rsidRDefault="00000000" w:rsidRPr="00000000" w14:paraId="00000045">
      <w:pPr>
        <w:numPr>
          <w:ilvl w:val="0"/>
          <w:numId w:val="5"/>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BARREIRO, T. (2009). Los del Fondo (Capítulos 2, 4 y 6). Novedades Educativas.</w:t>
      </w:r>
    </w:p>
    <w:p w:rsidR="00000000" w:rsidDel="00000000" w:rsidP="00000000" w:rsidRDefault="00000000" w:rsidRPr="00000000" w14:paraId="00000046">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Bibliografía Complementaria:</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w:cs="Arial" w:eastAsia="Arial" w:hAnsi="Arial"/>
        </w:rPr>
      </w:pPr>
      <w:r w:rsidDel="00000000" w:rsidR="00000000" w:rsidRPr="00000000">
        <w:rPr>
          <w:rFonts w:ascii="Arial" w:cs="Arial" w:eastAsia="Arial" w:hAnsi="Arial"/>
          <w:rtl w:val="0"/>
        </w:rPr>
        <w:t xml:space="preserve">BERGER P. y T. LUCKMANN (1986): La construcción social de la realidad. Amorrortu, Buenos Aires.</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w:cs="Arial" w:eastAsia="Arial" w:hAnsi="Arial"/>
        </w:rPr>
      </w:pPr>
      <w:r w:rsidDel="00000000" w:rsidR="00000000" w:rsidRPr="00000000">
        <w:rPr>
          <w:rFonts w:ascii="Arial" w:cs="Arial" w:eastAsia="Arial" w:hAnsi="Arial"/>
          <w:rtl w:val="0"/>
        </w:rPr>
        <w:t xml:space="preserve">BORZONE, A. M., ROSEMBERG, C. R., DIUK, B., SILVESTRI, A. &amp; PLANA, D. (2004). Niños y maestros por el camino de la alfabetización. Red de Apoyo Escolar, Ministerio de Educación, Buenos Aires.</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w:cs="Arial" w:eastAsia="Arial" w:hAnsi="Arial"/>
        </w:rPr>
      </w:pPr>
      <w:r w:rsidDel="00000000" w:rsidR="00000000" w:rsidRPr="00000000">
        <w:rPr>
          <w:rFonts w:ascii="Arial" w:cs="Arial" w:eastAsia="Arial" w:hAnsi="Arial"/>
          <w:rtl w:val="0"/>
        </w:rPr>
        <w:t xml:space="preserve">HUERTAS, J (1997). Motivaciòn, querer aprender. Aique Grupo Editor S.A.</w:t>
      </w:r>
    </w:p>
    <w:p w:rsidR="00000000" w:rsidDel="00000000" w:rsidP="00000000" w:rsidRDefault="00000000" w:rsidRPr="00000000" w14:paraId="0000004A">
      <w:pPr>
        <w:spacing w:after="240" w:lineRule="auto"/>
        <w:jc w:val="both"/>
        <w:rPr>
          <w:rFonts w:ascii="Arial" w:cs="Arial" w:eastAsia="Arial" w:hAnsi="Arial"/>
          <w:b w:val="0"/>
          <w:bCs w:val="0"/>
          <w:u w:val="single"/>
          <w:vertAlign w:val="baseline"/>
        </w:rPr>
      </w:pPr>
      <w:r w:rsidDel="00000000" w:rsidR="00000000" w:rsidRPr="00000000">
        <w:rPr>
          <w:rFonts w:ascii="Arial" w:cs="Arial" w:eastAsia="Arial" w:hAnsi="Arial"/>
          <w:b w:val="1"/>
          <w:bCs w:val="1"/>
          <w:u w:val="single"/>
          <w:vertAlign w:val="baseline"/>
          <w:rtl w:val="0"/>
        </w:rPr>
        <w:t xml:space="preserve">EJE 3: El aula, educación inclusiva</w:t>
      </w:r>
      <w:r w:rsidDel="00000000" w:rsidR="00000000" w:rsidRPr="00000000">
        <w:rPr>
          <w:rtl w:val="0"/>
        </w:rPr>
      </w:r>
    </w:p>
    <w:p w:rsidR="00000000" w:rsidDel="00000000" w:rsidP="00000000" w:rsidRDefault="00000000" w:rsidRPr="00000000" w14:paraId="0000004B">
      <w:pPr>
        <w:spacing w:after="0" w:before="5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Aprender en el aula. Clima de la clase, vínculos, interacciones, relaciones de poder. Dimensión Psicoafectiva. Infancias y adolescencias en las escuelas. La educación inclusiva y los sujetos.</w:t>
      </w:r>
    </w:p>
    <w:p w:rsidR="00000000" w:rsidDel="00000000" w:rsidP="00000000" w:rsidRDefault="00000000" w:rsidRPr="00000000" w14:paraId="0000004C">
      <w:pPr>
        <w:spacing w:after="0" w:before="5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Inclusión, ideal pansófico comeniano y homogeneización. Redistribución y reconocimiento. Inclusión y calidad. Inclusión e integración: concepciones acerca de lo diverso. El fracaso escolar desde una perspectiva psicoeducativa situacional. Crítica al modelo patológico individual del fracaso escolar.</w:t>
      </w:r>
    </w:p>
    <w:p w:rsidR="00000000" w:rsidDel="00000000" w:rsidP="00000000" w:rsidRDefault="00000000" w:rsidRPr="00000000" w14:paraId="0000004D">
      <w:pPr>
        <w:spacing w:after="0" w:before="5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Inclusión e integración. Culturas, políticas y prácticas inclusivas. De las “necesidades educativas especiales” a la consideración de las “barreras para el aprendizaje y la participación”. Igualdad, diversidad y justicia. Prácticas inclusivas en el caso del trastorno del espectro autista (TEA). Trastorno o condición.</w:t>
      </w:r>
    </w:p>
    <w:p w:rsidR="00000000" w:rsidDel="00000000" w:rsidP="00000000" w:rsidRDefault="00000000" w:rsidRPr="00000000" w14:paraId="0000004E">
      <w:pPr>
        <w:spacing w:after="0" w:before="5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Discapacidad o neurodiversidad. La importancia del diagnóstico. Algunas estrategias de intervención educativa. Trabajo con la confianza de los alumnos y la eliminación de etiquetas en el desarrollo de la práctica. Autoridad.</w:t>
      </w:r>
    </w:p>
    <w:p w:rsidR="00000000" w:rsidDel="00000000" w:rsidP="00000000" w:rsidRDefault="00000000" w:rsidRPr="00000000" w14:paraId="0000004F">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Bibliografía Obligatoria:</w:t>
      </w:r>
    </w:p>
    <w:p w:rsidR="00000000" w:rsidDel="00000000" w:rsidP="00000000" w:rsidRDefault="00000000" w:rsidRPr="00000000" w14:paraId="00000050">
      <w:pPr>
        <w:numPr>
          <w:ilvl w:val="0"/>
          <w:numId w:val="1"/>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BARREIRO, T. (2009). Los del Fondo. Novedades Educativas.</w:t>
      </w:r>
    </w:p>
    <w:p w:rsidR="00000000" w:rsidDel="00000000" w:rsidP="00000000" w:rsidRDefault="00000000" w:rsidRPr="00000000" w14:paraId="00000051">
      <w:pPr>
        <w:numPr>
          <w:ilvl w:val="0"/>
          <w:numId w:val="1"/>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BENASAYAG, M. &amp; SCHMIT, G. (2010). Ética y etiqueta. Cap. 6. En Las pasiones tristes. Sufrimiento psíquico y crisis social (pp. 77-97). Buenos Aires: Siglo XXI.</w:t>
      </w:r>
    </w:p>
    <w:p w:rsidR="00000000" w:rsidDel="00000000" w:rsidP="00000000" w:rsidRDefault="00000000" w:rsidRPr="00000000" w14:paraId="00000052">
      <w:pPr>
        <w:numPr>
          <w:ilvl w:val="0"/>
          <w:numId w:val="1"/>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CADAVEIRA, M. (2019). Cap. 2. Autismos: otras formas de ver el mundo. En L. Bakker y J. Rubiales, Neuroeducación y diversidad. Herramientas para potenciar las diferentes maneras de aprender (pp. 21-34). Buenos Aires: Akadia.</w:t>
      </w:r>
    </w:p>
    <w:p w:rsidR="00000000" w:rsidDel="00000000" w:rsidP="00000000" w:rsidRDefault="00000000" w:rsidRPr="00000000" w14:paraId="00000053">
      <w:pPr>
        <w:numPr>
          <w:ilvl w:val="0"/>
          <w:numId w:val="1"/>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CORNU, L. (1999) La confianza en las relaciones pedagógicas. En G. Frigerio; M. Poggi; D. Korinfeld (comps) Construyendo un saber sobre el interior de la escuela (pp. 19-26). Buenos Aires: CEM-Novedades Educativas</w:t>
      </w:r>
    </w:p>
    <w:p w:rsidR="00000000" w:rsidDel="00000000" w:rsidP="00000000" w:rsidRDefault="00000000" w:rsidRPr="00000000" w14:paraId="00000054">
      <w:pPr>
        <w:numPr>
          <w:ilvl w:val="0"/>
          <w:numId w:val="1"/>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GLAZ, C. (2017). Problemáticas en el aprendizaje de jóvenes y adultos, en De aquí y de allá Experiencias en escenarios educativos interpeladas desde la perspectiva sociocultural. Compilado y editado por Cristina Erausquin – 1a ed. PsiDispa, CABA.</w:t>
      </w:r>
    </w:p>
    <w:p w:rsidR="00000000" w:rsidDel="00000000" w:rsidP="00000000" w:rsidRDefault="00000000" w:rsidRPr="00000000" w14:paraId="00000055">
      <w:pPr>
        <w:widowControl w:val="0"/>
        <w:numPr>
          <w:ilvl w:val="0"/>
          <w:numId w:val="1"/>
        </w:numPr>
        <w:spacing w:line="360" w:lineRule="auto"/>
        <w:ind w:left="720" w:hanging="360"/>
        <w:jc w:val="both"/>
        <w:rPr/>
      </w:pPr>
      <w:r w:rsidDel="00000000" w:rsidR="00000000" w:rsidRPr="00000000">
        <w:rPr>
          <w:rFonts w:ascii="Arial" w:cs="Arial" w:eastAsia="Arial" w:hAnsi="Arial"/>
          <w:sz w:val="22"/>
          <w:szCs w:val="22"/>
          <w:rtl w:val="0"/>
        </w:rPr>
        <w:t xml:space="preserve">MINISTERIO DE EDUCACIÓN, CULTURA, CIENCIA Y TECNOLOGÍA (2019). Educación Inclusiva: fundamentos y prácticas para la inclusión. La Ed. Ministerio de educación, Cultura, Ciencia y Tecnología. CABA. ISNB 978-987-47076-5-9</w:t>
      </w:r>
      <w:r w:rsidDel="00000000" w:rsidR="00000000" w:rsidRPr="00000000">
        <w:rPr>
          <w:rtl w:val="0"/>
        </w:rPr>
      </w:r>
    </w:p>
    <w:p w:rsidR="00000000" w:rsidDel="00000000" w:rsidP="00000000" w:rsidRDefault="00000000" w:rsidRPr="00000000" w14:paraId="00000056">
      <w:pPr>
        <w:widowControl w:val="0"/>
        <w:numPr>
          <w:ilvl w:val="0"/>
          <w:numId w:val="1"/>
        </w:numPr>
        <w:spacing w:line="360" w:lineRule="auto"/>
        <w:ind w:left="720" w:hanging="360"/>
        <w:jc w:val="both"/>
        <w:rPr/>
      </w:pPr>
      <w:r w:rsidDel="00000000" w:rsidR="00000000" w:rsidRPr="00000000">
        <w:rPr>
          <w:rFonts w:ascii="Arial" w:cs="Arial" w:eastAsia="Arial" w:hAnsi="Arial"/>
          <w:sz w:val="22"/>
          <w:szCs w:val="22"/>
          <w:rtl w:val="0"/>
        </w:rPr>
        <w:t xml:space="preserve">MINISTERIO DE EDUCACIÓN, CULTURA, CIENCIA Y TECNOLOGÍA (2019). Eliminando barreras para el aprendizaje y la participación en alumnos con dificultades específicas del aprendizaje (DEA). La Ed. Ministerio de educación, Cultura, Ciencia y Tecnología. CABA. ISNB 978-987-47076-6-6</w:t>
      </w:r>
      <w:r w:rsidDel="00000000" w:rsidR="00000000" w:rsidRPr="00000000">
        <w:rPr>
          <w:rtl w:val="0"/>
        </w:rPr>
      </w:r>
    </w:p>
    <w:p w:rsidR="00000000" w:rsidDel="00000000" w:rsidP="00000000" w:rsidRDefault="00000000" w:rsidRPr="00000000" w14:paraId="00000057">
      <w:pPr>
        <w:widowControl w:val="0"/>
        <w:numPr>
          <w:ilvl w:val="0"/>
          <w:numId w:val="1"/>
        </w:numPr>
        <w:spacing w:line="360" w:lineRule="auto"/>
        <w:ind w:left="720" w:hanging="360"/>
        <w:jc w:val="both"/>
        <w:rPr/>
      </w:pPr>
      <w:r w:rsidDel="00000000" w:rsidR="00000000" w:rsidRPr="00000000">
        <w:rPr>
          <w:rFonts w:ascii="Arial" w:cs="Arial" w:eastAsia="Arial" w:hAnsi="Arial"/>
          <w:sz w:val="22"/>
          <w:szCs w:val="22"/>
          <w:rtl w:val="0"/>
        </w:rPr>
        <w:t xml:space="preserve">MINISTERIO DE EDUCACIÓN, CULTURA, CIENCIA Y TECNOLOGÍA (2019). Eliminando barreras para el aprendizaje y la participación en alumnos con trastorno del espectro autista (TEA). La Ed. Ministerio de educación, Cultura, Ciencia y Tecnología. CABA. ISNB 978-987-47076-8-0</w:t>
      </w:r>
      <w:r w:rsidDel="00000000" w:rsidR="00000000" w:rsidRPr="00000000">
        <w:rPr>
          <w:rtl w:val="0"/>
        </w:rPr>
      </w:r>
    </w:p>
    <w:p w:rsidR="00000000" w:rsidDel="00000000" w:rsidP="00000000" w:rsidRDefault="00000000" w:rsidRPr="00000000" w14:paraId="00000058">
      <w:pPr>
        <w:numPr>
          <w:ilvl w:val="0"/>
          <w:numId w:val="1"/>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NARODOWSKI, M. (2008). La inclusión educativa. Reflexiones y propuestas entre las teorías, las demandas y los slogans. REICE, Revista Electrónica Iberoamericana sobre Calidad, Eficacia y Cambio en Educación, 6(2), 19-26.</w:t>
      </w:r>
    </w:p>
    <w:p w:rsidR="00000000" w:rsidDel="00000000" w:rsidP="00000000" w:rsidRDefault="00000000" w:rsidRPr="00000000" w14:paraId="00000059">
      <w:pPr>
        <w:numPr>
          <w:ilvl w:val="0"/>
          <w:numId w:val="1"/>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TERIGI, F. (2009). El fracaso escolar desde la perspectiva psicoeducativa: hacia una reconceptualización situacional. Revista Iberoamericana de Educación. N° 50, pp. 23-39. /13/</w:t>
      </w:r>
    </w:p>
    <w:p w:rsidR="00000000" w:rsidDel="00000000" w:rsidP="00000000" w:rsidRDefault="00000000" w:rsidRPr="00000000" w14:paraId="0000005A">
      <w:pPr>
        <w:numPr>
          <w:ilvl w:val="0"/>
          <w:numId w:val="1"/>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VALDEZ, D. (2017). Cap. 6. Educación inclusiva. En J. A. Seda, La convención sobre los derechos de las personas con discapacidad (pp. 83-96). Buenos Aires: Eudeba.</w:t>
      </w:r>
    </w:p>
    <w:p w:rsidR="00000000" w:rsidDel="00000000" w:rsidP="00000000" w:rsidRDefault="00000000" w:rsidRPr="00000000" w14:paraId="0000005B">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Bibliografía Complementaria:</w:t>
      </w:r>
    </w:p>
    <w:p w:rsidR="00000000" w:rsidDel="00000000" w:rsidP="00000000" w:rsidRDefault="00000000" w:rsidRPr="00000000" w14:paraId="0000005C">
      <w:pPr>
        <w:numPr>
          <w:ilvl w:val="0"/>
          <w:numId w:val="2"/>
        </w:numPr>
        <w:spacing w:after="240" w:lineRule="auto"/>
        <w:ind w:left="72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DUSSEL I., SOUTHWELL Y OTROS. La autoridad en cuestión. En AAVV DOSSIER Monitor, Sumario N°20. Pp.25-40</w:t>
      </w:r>
    </w:p>
    <w:p w:rsidR="00000000" w:rsidDel="00000000" w:rsidP="00000000" w:rsidRDefault="00000000" w:rsidRPr="00000000" w14:paraId="0000005D">
      <w:pPr>
        <w:pBdr>
          <w:top w:color="000000" w:space="1" w:sz="4" w:val="single"/>
          <w:left w:color="000000" w:space="4" w:sz="4" w:val="single"/>
          <w:bottom w:color="000000" w:space="1" w:sz="4" w:val="single"/>
          <w:right w:color="000000" w:space="4" w:sz="4" w:val="single"/>
        </w:pBdr>
        <w:shd w:fill="0d0d0d" w:val="clear"/>
        <w:spacing w:after="240" w:lineRule="auto"/>
        <w:jc w:val="both"/>
        <w:rPr>
          <w:rFonts w:ascii="Arial" w:cs="Arial" w:eastAsia="Arial" w:hAnsi="Arial"/>
          <w:b w:val="0"/>
          <w:bCs w:val="0"/>
          <w:color w:val="ffffff"/>
          <w:vertAlign w:val="baseline"/>
        </w:rPr>
      </w:pPr>
      <w:r w:rsidDel="00000000" w:rsidR="00000000" w:rsidRPr="00000000">
        <w:rPr>
          <w:rFonts w:ascii="Arial" w:cs="Arial" w:eastAsia="Arial" w:hAnsi="Arial"/>
          <w:b w:val="1"/>
          <w:bCs w:val="1"/>
          <w:color w:val="ffffff"/>
          <w:vertAlign w:val="baseline"/>
          <w:rtl w:val="0"/>
        </w:rPr>
        <w:t xml:space="preserve">4. EVALUACIÓN – ACREDITACIÓN </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La evaluación está diseñada como una parte del proceso de enseñanza y aprendizaje. Permite introducir durante los mismos, transformaciones que puedan ser necesarias para alcanzar los objetivos previstos. Por otra parte, posibilita al estudiantado reflexionar sobre los aprendizajes realizados, conociendo a través del intercambio con el docente aquellos contenidos que deberán afianzarse.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Los criterios tenidos en cuenta en el proceso de aprendizaje a la hora de evaluar: Responsabilidad; Compromiso activo en el proceso de aprendizaje; Voluntad de superación de las dificultades; Capacidad de trabajo conjunto para el logro de objetivos compartidos; Capacidad de análisis, reflexión y crítica; Conocimiento de los contenidos y pertinencia en la terminología utilizada; Presentación en tiempo y forma de las producciones solicitadas; Coherencia y cohesión del lenguaje oral y escrito; Adecuación a las consignas, y; Capacidad creativa, originalidad.</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0" w:line="24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En cuanto al proceso de enseñanza, se plantean indagación y análisis respecto de: lo realizado y lo planificado. Reflexión sobre el grado de concreción de los objetivos planteados en la propuesta. En la misma, se tendrá en cuenta la congruencia entre lo programado para el desarrollo de la cursada y las intervenciones de la docente como guía y motivadora en el proceso. Es importante el registro de los recursos, estrategias y metodologías utilizadas (tiempos, espacios, tipos de agrupaciones utilizadas, instrumentos de evaluación, dinámicas áulicas, entre otros), y el efecto en los procesos de aprendizaje.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50" w:line="24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2">
      <w:pPr>
        <w:spacing w:after="240" w:lineRule="auto"/>
        <w:jc w:val="both"/>
        <w:rPr>
          <w:rFonts w:ascii="Arial" w:cs="Arial" w:eastAsia="Arial" w:hAnsi="Arial"/>
          <w:b w:val="0"/>
          <w:bCs w:val="0"/>
          <w:u w:val="single"/>
          <w:vertAlign w:val="baseline"/>
        </w:rPr>
      </w:pPr>
      <w:r w:rsidDel="00000000" w:rsidR="00000000" w:rsidRPr="00000000">
        <w:rPr>
          <w:rFonts w:ascii="Arial" w:cs="Arial" w:eastAsia="Arial" w:hAnsi="Arial"/>
          <w:b w:val="1"/>
          <w:bCs w:val="1"/>
          <w:u w:val="single"/>
          <w:vertAlign w:val="baseline"/>
          <w:rtl w:val="0"/>
        </w:rPr>
        <w:t xml:space="preserve">ACREDITACIÓN (CONDICIONES ALUMNO/A REGULAR Y LIBRE)</w:t>
      </w:r>
      <w:r w:rsidDel="00000000" w:rsidR="00000000" w:rsidRPr="00000000">
        <w:rPr>
          <w:rtl w:val="0"/>
        </w:rPr>
      </w:r>
    </w:p>
    <w:p w:rsidR="00000000" w:rsidDel="00000000" w:rsidP="00000000" w:rsidRDefault="00000000" w:rsidRPr="00000000" w14:paraId="00000063">
      <w:pPr>
        <w:numPr>
          <w:ilvl w:val="0"/>
          <w:numId w:val="2"/>
        </w:numPr>
        <w:spacing w:after="240" w:lineRule="auto"/>
        <w:ind w:left="720" w:hanging="360"/>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ALUMNOS/AS REGULARES</w:t>
      </w:r>
      <w:r w:rsidDel="00000000" w:rsidR="00000000" w:rsidRPr="00000000">
        <w:rPr>
          <w:rtl w:val="0"/>
        </w:rPr>
      </w:r>
    </w:p>
    <w:p w:rsidR="00000000" w:rsidDel="00000000" w:rsidP="00000000" w:rsidRDefault="00000000" w:rsidRPr="00000000" w14:paraId="00000064">
      <w:pPr>
        <w:spacing w:after="240" w:lineRule="auto"/>
        <w:jc w:val="both"/>
        <w:rPr>
          <w:rFonts w:ascii="Arial" w:cs="Arial" w:eastAsia="Arial" w:hAnsi="Arial"/>
          <w:u w:val="single"/>
          <w:vertAlign w:val="baseline"/>
        </w:rPr>
      </w:pPr>
      <w:r w:rsidDel="00000000" w:rsidR="00000000" w:rsidRPr="00000000">
        <w:rPr>
          <w:rFonts w:ascii="Arial" w:cs="Arial" w:eastAsia="Arial" w:hAnsi="Arial"/>
          <w:u w:val="single"/>
          <w:vertAlign w:val="baseline"/>
          <w:rtl w:val="0"/>
        </w:rPr>
        <w:t xml:space="preserve">Aprobación con examen final:</w:t>
      </w:r>
    </w:p>
    <w:p w:rsidR="00000000" w:rsidDel="00000000" w:rsidP="00000000" w:rsidRDefault="00000000" w:rsidRPr="00000000" w14:paraId="00000065">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Aprobar dos parciales con una nota de 4 a 6 puntos o sus correspondientes recuperatorios.</w:t>
      </w:r>
    </w:p>
    <w:p w:rsidR="00000000" w:rsidDel="00000000" w:rsidP="00000000" w:rsidRDefault="00000000" w:rsidRPr="00000000" w14:paraId="00000066">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Aprobar trabajos prácticos con una nota de 4 puntos o sus correspondientes recuperatorios.</w:t>
      </w:r>
    </w:p>
    <w:p w:rsidR="00000000" w:rsidDel="00000000" w:rsidP="00000000" w:rsidRDefault="00000000" w:rsidRPr="00000000" w14:paraId="00000067">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Cumplir con el 60 al 79% de asistencia.</w:t>
      </w:r>
    </w:p>
    <w:p w:rsidR="00000000" w:rsidDel="00000000" w:rsidP="00000000" w:rsidRDefault="00000000" w:rsidRPr="00000000" w14:paraId="00000068">
      <w:pPr>
        <w:spacing w:after="240" w:lineRule="auto"/>
        <w:jc w:val="both"/>
        <w:rPr>
          <w:rFonts w:ascii="Arial" w:cs="Arial" w:eastAsia="Arial" w:hAnsi="Arial"/>
          <w:u w:val="single"/>
          <w:vertAlign w:val="baseline"/>
        </w:rPr>
      </w:pPr>
      <w:r w:rsidDel="00000000" w:rsidR="00000000" w:rsidRPr="00000000">
        <w:rPr>
          <w:rFonts w:ascii="Arial" w:cs="Arial" w:eastAsia="Arial" w:hAnsi="Arial"/>
          <w:u w:val="single"/>
          <w:vertAlign w:val="baseline"/>
          <w:rtl w:val="0"/>
        </w:rPr>
        <w:t xml:space="preserve">Promoción sin examen final:</w:t>
      </w:r>
    </w:p>
    <w:p w:rsidR="00000000" w:rsidDel="00000000" w:rsidP="00000000" w:rsidRDefault="00000000" w:rsidRPr="00000000" w14:paraId="00000069">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Aprobar dos parciales con una nota de 7 o más.</w:t>
      </w:r>
    </w:p>
    <w:p w:rsidR="00000000" w:rsidDel="00000000" w:rsidP="00000000" w:rsidRDefault="00000000" w:rsidRPr="00000000" w14:paraId="0000006A">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Aprobar los trabajos prácticos con una nota de 7 o más. </w:t>
      </w:r>
    </w:p>
    <w:p w:rsidR="00000000" w:rsidDel="00000000" w:rsidP="00000000" w:rsidRDefault="00000000" w:rsidRPr="00000000" w14:paraId="0000006B">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Cumplir con un mínimo de 80% de asistencia.</w:t>
      </w:r>
    </w:p>
    <w:p w:rsidR="00000000" w:rsidDel="00000000" w:rsidP="00000000" w:rsidRDefault="00000000" w:rsidRPr="00000000" w14:paraId="0000006C">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En caso de que la nota de parcial o trabajo práctico sea entre 4 a 6 puntos, se podrá solicitar rendir la instancia recuperatoria, aspirando a promocionar. En la medida de efectuarse, la nota del recuperatorio ANULA la del trabajo práctico o parcial de la primera instancia (independientemente de cuál haya sido allí la nota).</w:t>
      </w:r>
    </w:p>
    <w:p w:rsidR="00000000" w:rsidDel="00000000" w:rsidP="00000000" w:rsidRDefault="00000000" w:rsidRPr="00000000" w14:paraId="0000006D">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Condiciones para la desaprobación:</w:t>
      </w:r>
    </w:p>
    <w:p w:rsidR="00000000" w:rsidDel="00000000" w:rsidP="00000000" w:rsidRDefault="00000000" w:rsidRPr="00000000" w14:paraId="0000006E">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Obtener una nota de 1 a 3 en cualquiera de las instancias de recuperatorio de parciales o trabajos prácticos.</w:t>
      </w:r>
    </w:p>
    <w:p w:rsidR="00000000" w:rsidDel="00000000" w:rsidP="00000000" w:rsidRDefault="00000000" w:rsidRPr="00000000" w14:paraId="0000006F">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Aquellos/as que desaprueben la asignatura, deberán recursar o rendir examen libre.</w:t>
      </w:r>
    </w:p>
    <w:p w:rsidR="00000000" w:rsidDel="00000000" w:rsidP="00000000" w:rsidRDefault="00000000" w:rsidRPr="00000000" w14:paraId="00000070">
      <w:pPr>
        <w:numPr>
          <w:ilvl w:val="0"/>
          <w:numId w:val="2"/>
        </w:numPr>
        <w:spacing w:after="240" w:lineRule="auto"/>
        <w:ind w:left="720" w:hanging="360"/>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ALUMNOS/AS EN CONSICIÒN DE LIBRES</w:t>
      </w:r>
      <w:r w:rsidDel="00000000" w:rsidR="00000000" w:rsidRPr="00000000">
        <w:rPr>
          <w:rtl w:val="0"/>
        </w:rPr>
      </w:r>
    </w:p>
    <w:p w:rsidR="00000000" w:rsidDel="00000000" w:rsidP="00000000" w:rsidRDefault="00000000" w:rsidRPr="00000000" w14:paraId="00000071">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Examen Libre:</w:t>
      </w:r>
    </w:p>
    <w:p w:rsidR="00000000" w:rsidDel="00000000" w:rsidP="00000000" w:rsidRDefault="00000000" w:rsidRPr="00000000" w14:paraId="00000072">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Deberá ponerse previamente en contacto con el docente vía mail para acordar encuentros personalizados a fin de orientar la bibliografía y las temáticas de cada eje del programa. Rendirá el mismo día en las fechas finales un examen escrito a desarrollar y un examen oral ante comisión evaluadora; deberán aprobar cada uno de ellos. Ambos incluyen todos los contenidos de la asignatura.</w:t>
      </w:r>
    </w:p>
    <w:p w:rsidR="00000000" w:rsidDel="00000000" w:rsidP="00000000" w:rsidRDefault="00000000" w:rsidRPr="00000000" w14:paraId="00000073">
      <w:pPr>
        <w:numPr>
          <w:ilvl w:val="0"/>
          <w:numId w:val="2"/>
        </w:numPr>
        <w:spacing w:after="240" w:lineRule="auto"/>
        <w:ind w:left="720" w:hanging="360"/>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EXAMEN FINAL</w:t>
      </w:r>
      <w:r w:rsidDel="00000000" w:rsidR="00000000" w:rsidRPr="00000000">
        <w:rPr>
          <w:rtl w:val="0"/>
        </w:rPr>
      </w:r>
    </w:p>
    <w:p w:rsidR="00000000" w:rsidDel="00000000" w:rsidP="00000000" w:rsidRDefault="00000000" w:rsidRPr="00000000" w14:paraId="00000074">
      <w:pPr>
        <w:spacing w:after="240" w:lineRule="auto"/>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El examen final es individual, oral e implica todas las temáticas vistas a lo largo de la cursada. La nota mínima de aprobación es de 4 (cuatro).</w:t>
      </w:r>
    </w:p>
    <w:sectPr>
      <w:footerReference r:id="rId8" w:type="default"/>
      <w:pgSz w:h="16837" w:w="11905" w:orient="portrait"/>
      <w:pgMar w:bottom="1418" w:top="1418" w:left="1418" w:right="1418" w:header="72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mic Sans MS"/>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Título1">
    <w:name w:val="Título 1"/>
    <w:basedOn w:val="Normal"/>
    <w:next w:val="Normal"/>
    <w:autoRedefine w:val="0"/>
    <w:hidden w:val="0"/>
    <w:qFormat w:val="0"/>
    <w:pPr>
      <w:keepNext w:val="1"/>
      <w:suppressAutoHyphens w:val="0"/>
      <w:spacing w:after="60" w:before="240" w:line="1" w:lineRule="atLeast"/>
      <w:ind w:leftChars="-1" w:rightChars="0" w:firstLineChars="-1"/>
      <w:textDirection w:val="btLr"/>
      <w:textAlignment w:val="top"/>
      <w:outlineLvl w:val="0"/>
    </w:pPr>
    <w:rPr>
      <w:rFonts w:ascii="Aptos Display" w:cs="Times New Roman" w:eastAsia="Times New Roman" w:hAnsi="Aptos Display"/>
      <w:b w:val="1"/>
      <w:bCs w:val="1"/>
      <w:w w:val="100"/>
      <w:kern w:val="32"/>
      <w:position w:val="-1"/>
      <w:sz w:val="32"/>
      <w:szCs w:val="32"/>
      <w:effect w:val="none"/>
      <w:vertAlign w:val="baseline"/>
      <w:cs w:val="0"/>
      <w:em w:val="none"/>
      <w:lang w:bidi="ar-SA" w:eastAsia="ar-SA" w:val="es-ES"/>
    </w:rPr>
  </w:style>
  <w:style w:type="paragraph" w:styleId="Título2">
    <w:name w:val="Título 2"/>
    <w:basedOn w:val="Normal"/>
    <w:next w:val="Normal"/>
    <w:autoRedefine w:val="0"/>
    <w:hidden w:val="0"/>
    <w:qFormat w:val="0"/>
    <w:pPr>
      <w:keepNext w:val="1"/>
      <w:numPr>
        <w:ilvl w:val="1"/>
        <w:numId w:val="1"/>
      </w:numPr>
      <w:suppressAutoHyphens w:val="0"/>
      <w:spacing w:line="1" w:lineRule="atLeast"/>
      <w:ind w:leftChars="-1" w:rightChars="0" w:firstLineChars="-1"/>
      <w:textDirection w:val="btLr"/>
      <w:textAlignment w:val="top"/>
      <w:outlineLvl w:val="1"/>
    </w:pPr>
    <w:rPr>
      <w:w w:val="100"/>
      <w:position w:val="-1"/>
      <w:sz w:val="24"/>
      <w:effect w:val="none"/>
      <w:vertAlign w:val="baseline"/>
      <w:cs w:val="0"/>
      <w:em w:val="none"/>
      <w:lang w:bidi="ar-SA" w:eastAsia="ar-SA" w:val="es-MX"/>
    </w:rPr>
  </w:style>
  <w:style w:type="paragraph" w:styleId="Título3">
    <w:name w:val="Título 3"/>
    <w:basedOn w:val="Normal"/>
    <w:next w:val="Normal"/>
    <w:autoRedefine w:val="0"/>
    <w:hidden w:val="0"/>
    <w:qFormat w:val="0"/>
    <w:pPr>
      <w:keepNext w:val="1"/>
      <w:numPr>
        <w:ilvl w:val="2"/>
        <w:numId w:val="1"/>
      </w:numPr>
      <w:suppressAutoHyphens w:val="0"/>
      <w:spacing w:line="1" w:lineRule="atLeast"/>
      <w:ind w:leftChars="-1" w:rightChars="0" w:firstLineChars="-1"/>
      <w:textDirection w:val="btLr"/>
      <w:textAlignment w:val="top"/>
      <w:outlineLvl w:val="2"/>
    </w:pPr>
    <w:rPr>
      <w:rFonts w:ascii="Arial" w:eastAsia="Arial Unicode MS" w:hAnsi="Arial"/>
      <w:w w:val="100"/>
      <w:position w:val="-1"/>
      <w:effect w:val="none"/>
      <w:vertAlign w:val="baseline"/>
      <w:cs w:val="0"/>
      <w:em w:val="none"/>
      <w:lang w:bidi="ar-SA" w:eastAsia="ar-SA" w:val="es-ES"/>
    </w:rPr>
  </w:style>
  <w:style w:type="paragraph" w:styleId="Título4">
    <w:name w:val="Título 4"/>
    <w:basedOn w:val="Normal"/>
    <w:next w:val="Normal"/>
    <w:autoRedefine w:val="0"/>
    <w:hidden w:val="0"/>
    <w:qFormat w:val="0"/>
    <w:pPr>
      <w:keepNext w:val="1"/>
      <w:shd w:color="auto" w:fill="e6e6e6" w:val="clear"/>
      <w:suppressAutoHyphens w:val="1"/>
      <w:spacing w:after="227" w:before="227" w:line="1" w:lineRule="atLeast"/>
      <w:ind w:leftChars="-1" w:rightChars="0" w:firstLineChars="-1"/>
      <w:textDirection w:val="btLr"/>
      <w:textAlignment w:val="top"/>
      <w:outlineLvl w:val="3"/>
    </w:pPr>
    <w:rPr>
      <w:b w:val="1"/>
      <w:bCs w:val="1"/>
      <w:color w:val="00000a"/>
      <w:w w:val="100"/>
      <w:position w:val="-1"/>
      <w:sz w:val="30"/>
      <w:szCs w:val="24"/>
      <w:effect w:val="none"/>
      <w:vertAlign w:val="baseline"/>
      <w:cs w:val="0"/>
      <w:em w:val="none"/>
      <w:lang w:bidi="hi-IN" w:eastAsia="zh-CN" w:val="es-ES"/>
    </w:rPr>
  </w:style>
  <w:style w:type="character" w:styleId="Fuentedepárrafopredeter.">
    <w:name w:val="Fuente de párrafo predeter."/>
    <w:next w:val="Fuentedepárrafopredeter."/>
    <w:autoRedefine w:val="0"/>
    <w:hidden w:val="0"/>
    <w:qFormat w:val="0"/>
    <w:rPr>
      <w:w w:val="100"/>
      <w:position w:val="-1"/>
      <w:effect w:val="none"/>
      <w:vertAlign w:val="baseline"/>
      <w:cs w:val="0"/>
      <w:em w:val="none"/>
      <w:lang/>
    </w:rPr>
  </w:style>
  <w:style w:type="table" w:styleId="Tablanormal">
    <w:name w:val="Tabla normal"/>
    <w:next w:val="Tabla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normal"/>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0"/>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rFonts w:ascii="Wingdings" w:hAnsi="Wingdings"/>
      <w:w w:val="100"/>
      <w:position w:val="-1"/>
      <w:effect w:val="none"/>
      <w:vertAlign w:val="baseline"/>
      <w:cs w:val="0"/>
      <w:em w:val="none"/>
      <w:lang/>
    </w:rPr>
  </w:style>
  <w:style w:type="character" w:styleId="WW8Num2z0">
    <w:name w:val="WW8Num2z0"/>
    <w:next w:val="WW8Num2z0"/>
    <w:autoRedefine w:val="0"/>
    <w:hidden w:val="0"/>
    <w:qFormat w:val="0"/>
    <w:rPr>
      <w:rFonts w:ascii="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hAnsi="Courier New"/>
      <w:w w:val="100"/>
      <w:position w:val="-1"/>
      <w:effect w:val="none"/>
      <w:vertAlign w:val="baseline"/>
      <w:cs w:val="0"/>
      <w:em w:val="none"/>
      <w:lang/>
    </w:rPr>
  </w:style>
  <w:style w:type="character" w:styleId="WW8Num2z3">
    <w:name w:val="WW8Num2z3"/>
    <w:next w:val="WW8Num2z3"/>
    <w:autoRedefine w:val="0"/>
    <w:hidden w:val="0"/>
    <w:qFormat w:val="0"/>
    <w:rPr>
      <w:rFonts w:ascii="Symbol" w:hAnsi="Symbol"/>
      <w:w w:val="100"/>
      <w:position w:val="-1"/>
      <w:effect w:val="none"/>
      <w:vertAlign w:val="baseline"/>
      <w:cs w:val="0"/>
      <w:em w:val="none"/>
      <w:lang/>
    </w:rPr>
  </w:style>
  <w:style w:type="character" w:styleId="WW8Num4z0">
    <w:name w:val="WW8Num4z0"/>
    <w:next w:val="WW8Num4z0"/>
    <w:autoRedefine w:val="0"/>
    <w:hidden w:val="0"/>
    <w:qFormat w:val="0"/>
    <w:rPr>
      <w:rFonts w:ascii="Wingdings" w:hAnsi="Wingdings"/>
      <w:w w:val="100"/>
      <w:position w:val="-1"/>
      <w:sz w:val="24"/>
      <w:effect w:val="none"/>
      <w:vertAlign w:val="baseline"/>
      <w:cs w:val="0"/>
      <w:em w:val="none"/>
      <w:lang/>
    </w:rPr>
  </w:style>
  <w:style w:type="character" w:styleId="WW8Num5z0">
    <w:name w:val="WW8Num5z0"/>
    <w:next w:val="WW8Num5z0"/>
    <w:autoRedefine w:val="0"/>
    <w:hidden w:val="0"/>
    <w:qFormat w:val="0"/>
    <w:rPr>
      <w:b w:val="0"/>
      <w:w w:val="100"/>
      <w:position w:val="-1"/>
      <w:effect w:val="none"/>
      <w:vertAlign w:val="baseline"/>
      <w:cs w:val="0"/>
      <w:em w:val="none"/>
      <w:lang/>
    </w:rPr>
  </w:style>
  <w:style w:type="character" w:styleId="WW8Num6z0">
    <w:name w:val="WW8Num6z0"/>
    <w:next w:val="WW8Num6z0"/>
    <w:autoRedefine w:val="0"/>
    <w:hidden w:val="0"/>
    <w:qFormat w:val="0"/>
    <w:rPr>
      <w:rFonts w:ascii="Wingdings" w:hAnsi="Wingdings"/>
      <w:w w:val="100"/>
      <w:position w:val="-1"/>
      <w:effect w:val="none"/>
      <w:vertAlign w:val="baseline"/>
      <w:cs w:val="0"/>
      <w:em w:val="none"/>
      <w:lang/>
    </w:rPr>
  </w:style>
  <w:style w:type="character" w:styleId="WW8Num7z0">
    <w:name w:val="WW8Num7z0"/>
    <w:next w:val="WW8Num7z0"/>
    <w:autoRedefine w:val="0"/>
    <w:hidden w:val="0"/>
    <w:qFormat w:val="0"/>
    <w:rPr>
      <w:rFonts w:ascii="Times New Roman" w:cs="Times New Roman" w:hAnsi="Times New Roman"/>
      <w:w w:val="100"/>
      <w:position w:val="-1"/>
      <w:effect w:val="none"/>
      <w:vertAlign w:val="baseline"/>
      <w:cs w:val="0"/>
      <w:em w:val="none"/>
      <w:lang/>
    </w:rPr>
  </w:style>
  <w:style w:type="character" w:styleId="WW8Num9z0">
    <w:name w:val="WW8Num9z0"/>
    <w:next w:val="WW8Num9z0"/>
    <w:autoRedefine w:val="0"/>
    <w:hidden w:val="0"/>
    <w:qFormat w:val="0"/>
    <w:rPr>
      <w:rFonts w:ascii="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Wingdings" w:hAnsi="Wingdings"/>
      <w:w w:val="100"/>
      <w:position w:val="-1"/>
      <w:sz w:val="24"/>
      <w:effect w:val="none"/>
      <w:vertAlign w:val="baseline"/>
      <w:cs w:val="0"/>
      <w:em w:val="none"/>
      <w:lang/>
    </w:rPr>
  </w:style>
  <w:style w:type="character" w:styleId="WW8Num14z0">
    <w:name w:val="WW8Num14z0"/>
    <w:next w:val="WW8Num14z0"/>
    <w:autoRedefine w:val="0"/>
    <w:hidden w:val="0"/>
    <w:qFormat w:val="0"/>
    <w:rPr>
      <w:rFonts w:ascii="Comic Sans MS" w:hAnsi="Comic Sans MS"/>
      <w:w w:val="100"/>
      <w:position w:val="-1"/>
      <w:effect w:val="none"/>
      <w:vertAlign w:val="baseline"/>
      <w:cs w:val="0"/>
      <w:em w:val="none"/>
      <w:lang/>
    </w:rPr>
  </w:style>
  <w:style w:type="character" w:styleId="WW8Num15z0">
    <w:name w:val="WW8Num15z0"/>
    <w:next w:val="WW8Num15z0"/>
    <w:autoRedefine w:val="0"/>
    <w:hidden w:val="0"/>
    <w:qFormat w:val="0"/>
    <w:rPr>
      <w:rFonts w:ascii="Wingdings" w:hAnsi="Wingdings"/>
      <w:w w:val="100"/>
      <w:position w:val="-1"/>
      <w:sz w:val="24"/>
      <w:effect w:val="none"/>
      <w:vertAlign w:val="baseline"/>
      <w:cs w:val="0"/>
      <w:em w:val="none"/>
      <w:lang/>
    </w:rPr>
  </w:style>
  <w:style w:type="character" w:styleId="WW8Num17z0">
    <w:name w:val="WW8Num17z0"/>
    <w:next w:val="WW8Num17z0"/>
    <w:autoRedefine w:val="0"/>
    <w:hidden w:val="0"/>
    <w:qFormat w:val="0"/>
    <w:rPr>
      <w:rFonts w:ascii="Wingdings" w:hAnsi="Wingdings"/>
      <w:w w:val="100"/>
      <w:position w:val="-1"/>
      <w:effect w:val="none"/>
      <w:vertAlign w:val="baseline"/>
      <w:cs w:val="0"/>
      <w:em w:val="none"/>
      <w:lang/>
    </w:rPr>
  </w:style>
  <w:style w:type="character" w:styleId="WW8Num17z1">
    <w:name w:val="WW8Num17z1"/>
    <w:next w:val="WW8Num17z1"/>
    <w:autoRedefine w:val="0"/>
    <w:hidden w:val="0"/>
    <w:qFormat w:val="0"/>
    <w:rPr>
      <w:rFonts w:ascii="Symbol" w:hAnsi="Symbol"/>
      <w:w w:val="100"/>
      <w:position w:val="-1"/>
      <w:effect w:val="none"/>
      <w:vertAlign w:val="baseline"/>
      <w:cs w:val="0"/>
      <w:em w:val="none"/>
      <w:lang/>
    </w:rPr>
  </w:style>
  <w:style w:type="character" w:styleId="WW8Num17z4">
    <w:name w:val="WW8Num17z4"/>
    <w:next w:val="WW8Num17z4"/>
    <w:autoRedefine w:val="0"/>
    <w:hidden w:val="0"/>
    <w:qFormat w:val="0"/>
    <w:rPr>
      <w:rFonts w:ascii="Courier New" w:hAnsi="Courier New"/>
      <w:w w:val="100"/>
      <w:position w:val="-1"/>
      <w:effect w:val="none"/>
      <w:vertAlign w:val="baseline"/>
      <w:cs w:val="0"/>
      <w:em w:val="none"/>
      <w:lang/>
    </w:rPr>
  </w:style>
  <w:style w:type="character" w:styleId="WW8Num18z0">
    <w:name w:val="WW8Num18z0"/>
    <w:next w:val="WW8Num18z0"/>
    <w:autoRedefine w:val="0"/>
    <w:hidden w:val="0"/>
    <w:qFormat w:val="0"/>
    <w:rPr>
      <w:rFonts w:ascii="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Wingdings" w:hAnsi="Wingdings"/>
      <w:w w:val="100"/>
      <w:position w:val="-1"/>
      <w:effect w:val="none"/>
      <w:vertAlign w:val="baseline"/>
      <w:cs w:val="0"/>
      <w:em w:val="none"/>
      <w:lang/>
    </w:rPr>
  </w:style>
  <w:style w:type="character" w:styleId="WW8Num19z1">
    <w:name w:val="WW8Num19z1"/>
    <w:next w:val="WW8Num19z1"/>
    <w:autoRedefine w:val="0"/>
    <w:hidden w:val="0"/>
    <w:qFormat w:val="0"/>
    <w:rPr>
      <w:rFonts w:ascii="Courier New" w:hAnsi="Courier New"/>
      <w:w w:val="100"/>
      <w:position w:val="-1"/>
      <w:effect w:val="none"/>
      <w:vertAlign w:val="baseline"/>
      <w:cs w:val="0"/>
      <w:em w:val="none"/>
      <w:lang/>
    </w:rPr>
  </w:style>
  <w:style w:type="character" w:styleId="WW8Num19z3">
    <w:name w:val="WW8Num19z3"/>
    <w:next w:val="WW8Num19z3"/>
    <w:autoRedefine w:val="0"/>
    <w:hidden w:val="0"/>
    <w:qFormat w:val="0"/>
    <w:rPr>
      <w:rFonts w:ascii="Symbol" w:hAnsi="Symbol"/>
      <w:w w:val="100"/>
      <w:position w:val="-1"/>
      <w:effect w:val="none"/>
      <w:vertAlign w:val="baseline"/>
      <w:cs w:val="0"/>
      <w:em w:val="none"/>
      <w:lang/>
    </w:rPr>
  </w:style>
  <w:style w:type="character" w:styleId="WW8Num21z0">
    <w:name w:val="WW8Num21z0"/>
    <w:next w:val="WW8Num21z0"/>
    <w:autoRedefine w:val="0"/>
    <w:hidden w:val="0"/>
    <w:qFormat w:val="0"/>
    <w:rPr>
      <w:rFonts w:ascii="Wingdings" w:hAnsi="Wingdings"/>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3">
    <w:name w:val="WW8Num21z3"/>
    <w:next w:val="WW8Num21z3"/>
    <w:autoRedefine w:val="0"/>
    <w:hidden w:val="0"/>
    <w:qFormat w:val="0"/>
    <w:rPr>
      <w:rFonts w:ascii="Symbol" w:hAnsi="Symbol"/>
      <w:w w:val="100"/>
      <w:position w:val="-1"/>
      <w:effect w:val="none"/>
      <w:vertAlign w:val="baseline"/>
      <w:cs w:val="0"/>
      <w:em w:val="none"/>
      <w:lang/>
    </w:rPr>
  </w:style>
  <w:style w:type="character" w:styleId="WW8Num22z0">
    <w:name w:val="WW8Num22z0"/>
    <w:next w:val="WW8Num22z0"/>
    <w:autoRedefine w:val="0"/>
    <w:hidden w:val="0"/>
    <w:qFormat w:val="0"/>
    <w:rPr>
      <w:rFonts w:ascii="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Wingdings" w:hAnsi="Wingdings"/>
      <w:w w:val="100"/>
      <w:position w:val="-1"/>
      <w:effect w:val="none"/>
      <w:vertAlign w:val="baseline"/>
      <w:cs w:val="0"/>
      <w:em w:val="none"/>
      <w:lang/>
    </w:rPr>
  </w:style>
  <w:style w:type="character" w:styleId="WW8Num25z0">
    <w:name w:val="WW8Num25z0"/>
    <w:next w:val="WW8Num25z0"/>
    <w:autoRedefine w:val="0"/>
    <w:hidden w:val="0"/>
    <w:qFormat w:val="0"/>
    <w:rPr>
      <w:rFonts w:ascii="Wingdings" w:hAnsi="Wingdings"/>
      <w:w w:val="100"/>
      <w:position w:val="-1"/>
      <w:effect w:val="none"/>
      <w:vertAlign w:val="baseline"/>
      <w:cs w:val="0"/>
      <w:em w:val="none"/>
      <w:lang/>
    </w:rPr>
  </w:style>
  <w:style w:type="character" w:styleId="WW8Num25z1">
    <w:name w:val="WW8Num25z1"/>
    <w:next w:val="WW8Num25z1"/>
    <w:autoRedefine w:val="0"/>
    <w:hidden w:val="0"/>
    <w:qFormat w:val="0"/>
    <w:rPr>
      <w:rFonts w:ascii="Courier New" w:hAnsi="Courier New"/>
      <w:w w:val="100"/>
      <w:position w:val="-1"/>
      <w:effect w:val="none"/>
      <w:vertAlign w:val="baseline"/>
      <w:cs w:val="0"/>
      <w:em w:val="none"/>
      <w:lang/>
    </w:rPr>
  </w:style>
  <w:style w:type="character" w:styleId="WW8Num25z3">
    <w:name w:val="WW8Num25z3"/>
    <w:next w:val="WW8Num25z3"/>
    <w:autoRedefine w:val="0"/>
    <w:hidden w:val="0"/>
    <w:qFormat w:val="0"/>
    <w:rPr>
      <w:rFonts w:ascii="Symbol" w:hAnsi="Symbol"/>
      <w:w w:val="100"/>
      <w:position w:val="-1"/>
      <w:effect w:val="none"/>
      <w:vertAlign w:val="baseline"/>
      <w:cs w:val="0"/>
      <w:em w:val="none"/>
      <w:lang/>
    </w:rPr>
  </w:style>
  <w:style w:type="character" w:styleId="WW8Num26z0">
    <w:name w:val="WW8Num26z0"/>
    <w:next w:val="WW8Num26z0"/>
    <w:autoRedefine w:val="0"/>
    <w:hidden w:val="0"/>
    <w:qFormat w:val="0"/>
    <w:rPr>
      <w:rFonts w:ascii="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Wingdings" w:hAnsi="Wingdings"/>
      <w:w w:val="100"/>
      <w:position w:val="-1"/>
      <w:effect w:val="none"/>
      <w:vertAlign w:val="baseline"/>
      <w:cs w:val="0"/>
      <w:em w:val="none"/>
      <w:lang/>
    </w:rPr>
  </w:style>
  <w:style w:type="character" w:styleId="WW8Num30z1">
    <w:name w:val="WW8Num30z1"/>
    <w:next w:val="WW8Num30z1"/>
    <w:autoRedefine w:val="0"/>
    <w:hidden w:val="0"/>
    <w:qFormat w:val="0"/>
    <w:rPr>
      <w:rFonts w:ascii="Courier New" w:hAnsi="Courier New"/>
      <w:w w:val="100"/>
      <w:position w:val="-1"/>
      <w:effect w:val="none"/>
      <w:vertAlign w:val="baseline"/>
      <w:cs w:val="0"/>
      <w:em w:val="none"/>
      <w:lang/>
    </w:rPr>
  </w:style>
  <w:style w:type="character" w:styleId="WW8Num30z3">
    <w:name w:val="WW8Num30z3"/>
    <w:next w:val="WW8Num30z3"/>
    <w:autoRedefine w:val="0"/>
    <w:hidden w:val="0"/>
    <w:qFormat w:val="0"/>
    <w:rPr>
      <w:rFonts w:ascii="Symbol" w:hAnsi="Symbol"/>
      <w:w w:val="100"/>
      <w:position w:val="-1"/>
      <w:effect w:val="none"/>
      <w:vertAlign w:val="baseline"/>
      <w:cs w:val="0"/>
      <w:em w:val="none"/>
      <w:lang/>
    </w:rPr>
  </w:style>
  <w:style w:type="character" w:styleId="WW8Num31z0">
    <w:name w:val="WW8Num31z0"/>
    <w:next w:val="WW8Num31z0"/>
    <w:autoRedefine w:val="0"/>
    <w:hidden w:val="0"/>
    <w:qFormat w:val="0"/>
    <w:rPr>
      <w:rFonts w:ascii="Wingdings" w:hAnsi="Wingdings"/>
      <w:w w:val="100"/>
      <w:position w:val="-1"/>
      <w:effect w:val="none"/>
      <w:vertAlign w:val="baseline"/>
      <w:cs w:val="0"/>
      <w:em w:val="none"/>
      <w:lang/>
    </w:rPr>
  </w:style>
  <w:style w:type="character" w:styleId="WW8Num32z0">
    <w:name w:val="WW8Num32z0"/>
    <w:next w:val="WW8Num32z0"/>
    <w:autoRedefine w:val="0"/>
    <w:hidden w:val="0"/>
    <w:qFormat w:val="0"/>
    <w:rPr>
      <w:rFonts w:ascii="Symbol" w:hAnsi="Symbol"/>
      <w:w w:val="100"/>
      <w:position w:val="-1"/>
      <w:effect w:val="none"/>
      <w:vertAlign w:val="baseline"/>
      <w:cs w:val="0"/>
      <w:em w:val="none"/>
      <w:lang/>
    </w:rPr>
  </w:style>
  <w:style w:type="character" w:styleId="WW8Num32z1">
    <w:name w:val="WW8Num32z1"/>
    <w:next w:val="WW8Num32z1"/>
    <w:autoRedefine w:val="0"/>
    <w:hidden w:val="0"/>
    <w:qFormat w:val="0"/>
    <w:rPr>
      <w:rFonts w:ascii="Courier New" w:cs="Courier New" w:hAnsi="Courier New"/>
      <w:w w:val="100"/>
      <w:position w:val="-1"/>
      <w:effect w:val="none"/>
      <w:vertAlign w:val="baseline"/>
      <w:cs w:val="0"/>
      <w:em w:val="none"/>
      <w:lang/>
    </w:rPr>
  </w:style>
  <w:style w:type="character" w:styleId="WW8Num32z2">
    <w:name w:val="WW8Num32z2"/>
    <w:next w:val="WW8Num32z2"/>
    <w:autoRedefine w:val="0"/>
    <w:hidden w:val="0"/>
    <w:qFormat w:val="0"/>
    <w:rPr>
      <w:rFonts w:ascii="Wingdings" w:hAnsi="Wingdings"/>
      <w:w w:val="100"/>
      <w:position w:val="-1"/>
      <w:effect w:val="none"/>
      <w:vertAlign w:val="baseline"/>
      <w:cs w:val="0"/>
      <w:em w:val="none"/>
      <w:lang/>
    </w:rPr>
  </w:style>
  <w:style w:type="character" w:styleId="WW8Num33z0">
    <w:name w:val="WW8Num33z0"/>
    <w:next w:val="WW8Num33z0"/>
    <w:autoRedefine w:val="0"/>
    <w:hidden w:val="0"/>
    <w:qFormat w:val="0"/>
    <w:rPr>
      <w:rFonts w:ascii="Times New Roman" w:hAnsi="Times New Roman"/>
      <w:w w:val="100"/>
      <w:position w:val="-1"/>
      <w:effect w:val="none"/>
      <w:vertAlign w:val="baseline"/>
      <w:cs w:val="0"/>
      <w:em w:val="none"/>
      <w:lang/>
    </w:rPr>
  </w:style>
  <w:style w:type="character" w:styleId="WW8Num34z0">
    <w:name w:val="WW8Num34z0"/>
    <w:next w:val="WW8Num34z0"/>
    <w:autoRedefine w:val="0"/>
    <w:hidden w:val="0"/>
    <w:qFormat w:val="0"/>
    <w:rPr>
      <w:rFonts w:ascii="Wingdings" w:hAnsi="Wingdings"/>
      <w:w w:val="100"/>
      <w:position w:val="-1"/>
      <w:effect w:val="none"/>
      <w:vertAlign w:val="baseline"/>
      <w:cs w:val="0"/>
      <w:em w:val="none"/>
      <w:lang/>
    </w:rPr>
  </w:style>
  <w:style w:type="character" w:styleId="WW8Num34z1">
    <w:name w:val="WW8Num34z1"/>
    <w:next w:val="WW8Num34z1"/>
    <w:autoRedefine w:val="0"/>
    <w:hidden w:val="0"/>
    <w:qFormat w:val="0"/>
    <w:rPr>
      <w:rFonts w:ascii="Courier New" w:cs="Courier New" w:hAnsi="Courier New"/>
      <w:w w:val="100"/>
      <w:position w:val="-1"/>
      <w:effect w:val="none"/>
      <w:vertAlign w:val="baseline"/>
      <w:cs w:val="0"/>
      <w:em w:val="none"/>
      <w:lang/>
    </w:rPr>
  </w:style>
  <w:style w:type="character" w:styleId="WW8Num35z0">
    <w:name w:val="WW8Num35z0"/>
    <w:next w:val="WW8Num35z0"/>
    <w:autoRedefine w:val="0"/>
    <w:hidden w:val="0"/>
    <w:qFormat w:val="0"/>
    <w:rPr>
      <w:rFonts w:ascii="Wingdings" w:hAnsi="Wingdings"/>
      <w:w w:val="100"/>
      <w:position w:val="-1"/>
      <w:effect w:val="none"/>
      <w:vertAlign w:val="baseline"/>
      <w:cs w:val="0"/>
      <w:em w:val="none"/>
      <w:lang/>
    </w:rPr>
  </w:style>
  <w:style w:type="character" w:styleId="WW8Num35z1">
    <w:name w:val="WW8Num35z1"/>
    <w:next w:val="WW8Num35z1"/>
    <w:autoRedefine w:val="0"/>
    <w:hidden w:val="0"/>
    <w:qFormat w:val="0"/>
    <w:rPr>
      <w:rFonts w:ascii="Courier New" w:hAnsi="Courier New"/>
      <w:w w:val="100"/>
      <w:position w:val="-1"/>
      <w:effect w:val="none"/>
      <w:vertAlign w:val="baseline"/>
      <w:cs w:val="0"/>
      <w:em w:val="none"/>
      <w:lang/>
    </w:rPr>
  </w:style>
  <w:style w:type="character" w:styleId="WW8Num35z3">
    <w:name w:val="WW8Num35z3"/>
    <w:next w:val="WW8Num35z3"/>
    <w:autoRedefine w:val="0"/>
    <w:hidden w:val="0"/>
    <w:qFormat w:val="0"/>
    <w:rPr>
      <w:rFonts w:ascii="Symbol" w:hAnsi="Symbol"/>
      <w:w w:val="100"/>
      <w:position w:val="-1"/>
      <w:effect w:val="none"/>
      <w:vertAlign w:val="baseline"/>
      <w:cs w:val="0"/>
      <w:em w:val="none"/>
      <w:lang/>
    </w:rPr>
  </w:style>
  <w:style w:type="character" w:styleId="WW8Num36z0">
    <w:name w:val="WW8Num36z0"/>
    <w:next w:val="WW8Num36z0"/>
    <w:autoRedefine w:val="0"/>
    <w:hidden w:val="0"/>
    <w:qFormat w:val="0"/>
    <w:rPr>
      <w:rFonts w:ascii="Wingdings" w:hAnsi="Wingdings"/>
      <w:w w:val="100"/>
      <w:position w:val="-1"/>
      <w:effect w:val="none"/>
      <w:vertAlign w:val="baseline"/>
      <w:cs w:val="0"/>
      <w:em w:val="none"/>
      <w:lang/>
    </w:rPr>
  </w:style>
  <w:style w:type="character" w:styleId="WW8Num36z1">
    <w:name w:val="WW8Num36z1"/>
    <w:next w:val="WW8Num36z1"/>
    <w:autoRedefine w:val="0"/>
    <w:hidden w:val="0"/>
    <w:qFormat w:val="0"/>
    <w:rPr>
      <w:rFonts w:ascii="Courier New" w:hAnsi="Courier New"/>
      <w:w w:val="100"/>
      <w:position w:val="-1"/>
      <w:effect w:val="none"/>
      <w:vertAlign w:val="baseline"/>
      <w:cs w:val="0"/>
      <w:em w:val="none"/>
      <w:lang/>
    </w:rPr>
  </w:style>
  <w:style w:type="character" w:styleId="WW8Num36z3">
    <w:name w:val="WW8Num36z3"/>
    <w:next w:val="WW8Num36z3"/>
    <w:autoRedefine w:val="0"/>
    <w:hidden w:val="0"/>
    <w:qFormat w:val="0"/>
    <w:rPr>
      <w:rFonts w:ascii="Symbol" w:hAnsi="Symbol"/>
      <w:w w:val="100"/>
      <w:position w:val="-1"/>
      <w:effect w:val="none"/>
      <w:vertAlign w:val="baseline"/>
      <w:cs w:val="0"/>
      <w:em w:val="none"/>
      <w:lang/>
    </w:rPr>
  </w:style>
  <w:style w:type="character" w:styleId="WW8Num37z0">
    <w:name w:val="WW8Num37z0"/>
    <w:next w:val="WW8Num37z0"/>
    <w:autoRedefine w:val="0"/>
    <w:hidden w:val="0"/>
    <w:qFormat w:val="0"/>
    <w:rPr>
      <w:rFonts w:ascii="Symbol" w:hAnsi="Symbol"/>
      <w:w w:val="100"/>
      <w:position w:val="-1"/>
      <w:effect w:val="none"/>
      <w:vertAlign w:val="baseline"/>
      <w:cs w:val="0"/>
      <w:em w:val="none"/>
      <w:lang/>
    </w:rPr>
  </w:style>
  <w:style w:type="character" w:styleId="WW8Num37z1">
    <w:name w:val="WW8Num37z1"/>
    <w:next w:val="WW8Num37z1"/>
    <w:autoRedefine w:val="0"/>
    <w:hidden w:val="0"/>
    <w:qFormat w:val="0"/>
    <w:rPr>
      <w:rFonts w:ascii="Courier New" w:cs="Courier New" w:hAnsi="Courier New"/>
      <w:w w:val="100"/>
      <w:position w:val="-1"/>
      <w:effect w:val="none"/>
      <w:vertAlign w:val="baseline"/>
      <w:cs w:val="0"/>
      <w:em w:val="none"/>
      <w:lang/>
    </w:rPr>
  </w:style>
  <w:style w:type="character" w:styleId="WW8Num37z2">
    <w:name w:val="WW8Num37z2"/>
    <w:next w:val="WW8Num37z2"/>
    <w:autoRedefine w:val="0"/>
    <w:hidden w:val="0"/>
    <w:qFormat w:val="0"/>
    <w:rPr>
      <w:rFonts w:ascii="Wingdings" w:hAnsi="Wingdings"/>
      <w:w w:val="100"/>
      <w:position w:val="-1"/>
      <w:effect w:val="none"/>
      <w:vertAlign w:val="baseline"/>
      <w:cs w:val="0"/>
      <w:em w:val="none"/>
      <w:lang/>
    </w:rPr>
  </w:style>
  <w:style w:type="character" w:styleId="WW8Num38z0">
    <w:name w:val="WW8Num38z0"/>
    <w:next w:val="WW8Num38z0"/>
    <w:autoRedefine w:val="0"/>
    <w:hidden w:val="0"/>
    <w:qFormat w:val="0"/>
    <w:rPr>
      <w:rFonts w:ascii="Symbol" w:hAnsi="Symbol"/>
      <w:w w:val="100"/>
      <w:position w:val="-1"/>
      <w:effect w:val="none"/>
      <w:vertAlign w:val="baseline"/>
      <w:cs w:val="0"/>
      <w:em w:val="none"/>
      <w:lang/>
    </w:rPr>
  </w:style>
  <w:style w:type="character" w:styleId="WW8Num38z1">
    <w:name w:val="WW8Num38z1"/>
    <w:next w:val="WW8Num38z1"/>
    <w:autoRedefine w:val="0"/>
    <w:hidden w:val="0"/>
    <w:qFormat w:val="0"/>
    <w:rPr>
      <w:rFonts w:ascii="Courier New" w:cs="Courier New" w:hAnsi="Courier New"/>
      <w:w w:val="100"/>
      <w:position w:val="-1"/>
      <w:effect w:val="none"/>
      <w:vertAlign w:val="baseline"/>
      <w:cs w:val="0"/>
      <w:em w:val="none"/>
      <w:lang/>
    </w:rPr>
  </w:style>
  <w:style w:type="character" w:styleId="WW8Num38z2">
    <w:name w:val="WW8Num38z2"/>
    <w:next w:val="WW8Num38z2"/>
    <w:autoRedefine w:val="0"/>
    <w:hidden w:val="0"/>
    <w:qFormat w:val="0"/>
    <w:rPr>
      <w:rFonts w:ascii="Wingdings" w:hAnsi="Wingdings"/>
      <w:w w:val="100"/>
      <w:position w:val="-1"/>
      <w:effect w:val="none"/>
      <w:vertAlign w:val="baseline"/>
      <w:cs w:val="0"/>
      <w:em w:val="none"/>
      <w:lang/>
    </w:rPr>
  </w:style>
  <w:style w:type="character" w:styleId="WW8Num39z0">
    <w:name w:val="WW8Num39z0"/>
    <w:next w:val="WW8Num39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40z0">
    <w:name w:val="WW8Num40z0"/>
    <w:next w:val="WW8Num40z0"/>
    <w:autoRedefine w:val="0"/>
    <w:hidden w:val="0"/>
    <w:qFormat w:val="0"/>
    <w:rPr>
      <w:rFonts w:ascii="Times New Roman" w:cs="Times New Roman" w:hAnsi="Times New Roman"/>
      <w:w w:val="100"/>
      <w:position w:val="-1"/>
      <w:effect w:val="none"/>
      <w:vertAlign w:val="baseline"/>
      <w:cs w:val="0"/>
      <w:em w:val="none"/>
      <w:lang/>
    </w:rPr>
  </w:style>
  <w:style w:type="character" w:styleId="WW8Num41z0">
    <w:name w:val="WW8Num41z0"/>
    <w:next w:val="WW8Num41z0"/>
    <w:autoRedefine w:val="0"/>
    <w:hidden w:val="0"/>
    <w:qFormat w:val="0"/>
    <w:rPr>
      <w:rFonts w:ascii="Wingdings" w:hAnsi="Wingdings"/>
      <w:w w:val="100"/>
      <w:position w:val="-1"/>
      <w:effect w:val="none"/>
      <w:vertAlign w:val="baseline"/>
      <w:cs w:val="0"/>
      <w:em w:val="none"/>
      <w:lang/>
    </w:rPr>
  </w:style>
  <w:style w:type="character" w:styleId="WW8Num42z0">
    <w:name w:val="WW8Num42z0"/>
    <w:next w:val="WW8Num42z0"/>
    <w:autoRedefine w:val="0"/>
    <w:hidden w:val="0"/>
    <w:qFormat w:val="0"/>
    <w:rPr>
      <w:rFonts w:ascii="Wingdings" w:hAnsi="Wingdings"/>
      <w:w w:val="100"/>
      <w:position w:val="-1"/>
      <w:effect w:val="none"/>
      <w:vertAlign w:val="baseline"/>
      <w:cs w:val="0"/>
      <w:em w:val="none"/>
      <w:lang/>
    </w:rPr>
  </w:style>
  <w:style w:type="character" w:styleId="WW8Num43z0">
    <w:name w:val="WW8Num43z0"/>
    <w:next w:val="WW8Num43z0"/>
    <w:autoRedefine w:val="0"/>
    <w:hidden w:val="0"/>
    <w:qFormat w:val="0"/>
    <w:rPr>
      <w:rFonts w:ascii="Wingdings" w:hAnsi="Wingdings"/>
      <w:w w:val="100"/>
      <w:position w:val="-1"/>
      <w:effect w:val="none"/>
      <w:vertAlign w:val="baseline"/>
      <w:cs w:val="0"/>
      <w:em w:val="none"/>
      <w:lang/>
    </w:rPr>
  </w:style>
  <w:style w:type="character" w:styleId="WW8Num44z0">
    <w:name w:val="WW8Num44z0"/>
    <w:next w:val="WW8Num44z0"/>
    <w:autoRedefine w:val="0"/>
    <w:hidden w:val="0"/>
    <w:qFormat w:val="0"/>
    <w:rPr>
      <w:rFonts w:ascii="Wingdings" w:hAnsi="Wingdings"/>
      <w:b w:val="0"/>
      <w:i w:val="0"/>
      <w:w w:val="100"/>
      <w:position w:val="-1"/>
      <w:sz w:val="24"/>
      <w:effect w:val="none"/>
      <w:vertAlign w:val="baseline"/>
      <w:cs w:val="0"/>
      <w:em w:val="none"/>
      <w:lang/>
    </w:rPr>
  </w:style>
  <w:style w:type="character" w:styleId="Fuentedepárrafopredeter.1">
    <w:name w:val="Fuente de párrafo predeter.1"/>
    <w:next w:val="Fuentedepárrafopredeter.1"/>
    <w:autoRedefine w:val="0"/>
    <w:hidden w:val="0"/>
    <w:qFormat w:val="0"/>
    <w:rPr>
      <w:w w:val="100"/>
      <w:position w:val="-1"/>
      <w:effect w:val="none"/>
      <w:vertAlign w:val="baseline"/>
      <w:cs w:val="0"/>
      <w:em w:val="none"/>
      <w:lang/>
    </w:rPr>
  </w:style>
  <w:style w:type="character" w:styleId="Númerodepágina">
    <w:name w:val="Número de página"/>
    <w:basedOn w:val="Fuentedepárrafopredeter.1"/>
    <w:next w:val="Númerodepágina"/>
    <w:autoRedefine w:val="0"/>
    <w:hidden w:val="0"/>
    <w:qFormat w:val="0"/>
    <w:rPr>
      <w:w w:val="100"/>
      <w:position w:val="-1"/>
      <w:effect w:val="none"/>
      <w:vertAlign w:val="baseline"/>
      <w:cs w:val="0"/>
      <w:em w:val="none"/>
      <w:lang/>
    </w:rPr>
  </w:style>
  <w:style w:type="character" w:styleId="Hipervínculo">
    <w:name w:val="Hipervínculo"/>
    <w:next w:val="Hipervínculo"/>
    <w:autoRedefine w:val="0"/>
    <w:hidden w:val="0"/>
    <w:qFormat w:val="0"/>
    <w:rPr>
      <w:color w:val="0000ff"/>
      <w:w w:val="100"/>
      <w:position w:val="-1"/>
      <w:u w:val="single"/>
      <w:effect w:val="none"/>
      <w:vertAlign w:val="baseline"/>
      <w:cs w:val="0"/>
      <w:em w:val="none"/>
      <w:lang/>
    </w:rPr>
  </w:style>
  <w:style w:type="character" w:styleId="Símbolodenotaalpie">
    <w:name w:val="Símbolo de nota al pie"/>
    <w:next w:val="Símbolodenotaalpie"/>
    <w:autoRedefine w:val="0"/>
    <w:hidden w:val="0"/>
    <w:qFormat w:val="0"/>
    <w:rPr>
      <w:w w:val="100"/>
      <w:position w:val="-1"/>
      <w:effect w:val="none"/>
      <w:vertAlign w:val="superscript"/>
      <w:cs w:val="0"/>
      <w:em w:val="none"/>
      <w:lang/>
    </w:rPr>
  </w:style>
  <w:style w:type="character" w:styleId="MáquinadeescribirHTML">
    <w:name w:val="Máquina de escribir HTML"/>
    <w:next w:val="MáquinadeescribirHTML"/>
    <w:autoRedefine w:val="0"/>
    <w:hidden w:val="0"/>
    <w:qFormat w:val="0"/>
    <w:rPr>
      <w:rFonts w:ascii="Courier New" w:cs="Courier New" w:eastAsia="Courier New" w:hAnsi="Courier New"/>
      <w:w w:val="100"/>
      <w:position w:val="-1"/>
      <w:sz w:val="20"/>
      <w:szCs w:val="20"/>
      <w:effect w:val="none"/>
      <w:vertAlign w:val="baseline"/>
      <w:cs w:val="0"/>
      <w:em w:val="none"/>
      <w:lang/>
    </w:rPr>
  </w:style>
  <w:style w:type="paragraph" w:styleId="Encabezado1">
    <w:name w:val="Encabezado1"/>
    <w:basedOn w:val="Normal"/>
    <w:next w:val="Textoindependiente"/>
    <w:autoRedefine w:val="0"/>
    <w:hidden w:val="0"/>
    <w:qFormat w:val="0"/>
    <w:pPr>
      <w:keepNext w:val="1"/>
      <w:suppressAutoHyphens w:val="0"/>
      <w:spacing w:after="120" w:before="240" w:line="1" w:lineRule="atLeast"/>
      <w:ind w:leftChars="-1" w:rightChars="0" w:firstLineChars="-1"/>
      <w:textDirection w:val="btLr"/>
      <w:textAlignment w:val="top"/>
      <w:outlineLvl w:val="0"/>
    </w:pPr>
    <w:rPr>
      <w:rFonts w:ascii="Helvetica" w:cs="Lucidasans" w:eastAsia="HG Mincho Light J" w:hAnsi="Helvetica"/>
      <w:w w:val="100"/>
      <w:position w:val="-1"/>
      <w:sz w:val="28"/>
      <w:szCs w:val="28"/>
      <w:effect w:val="none"/>
      <w:vertAlign w:val="baseline"/>
      <w:cs w:val="0"/>
      <w:em w:val="none"/>
      <w:lang w:bidi="ar-SA" w:eastAsia="ar-SA" w:val="es-ES"/>
    </w:rPr>
  </w:style>
  <w:style w:type="paragraph" w:styleId="Textoindependiente">
    <w:name w:val="Texto independiente"/>
    <w:basedOn w:val="Normal"/>
    <w:next w:val="Textoindependiente"/>
    <w:autoRedefine w:val="0"/>
    <w:hidden w:val="0"/>
    <w:qFormat w:val="0"/>
    <w:pPr>
      <w:suppressAutoHyphens w:val="0"/>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ar-SA" w:val="es-ES"/>
    </w:rPr>
  </w:style>
  <w:style w:type="paragraph" w:styleId="Lista">
    <w:name w:val="Lista"/>
    <w:basedOn w:val="Textoindependiente"/>
    <w:next w:val="Lista"/>
    <w:autoRedefine w:val="0"/>
    <w:hidden w:val="0"/>
    <w:qFormat w:val="0"/>
    <w:pPr>
      <w:suppressAutoHyphens w:val="0"/>
      <w:spacing w:line="1" w:lineRule="atLeast"/>
      <w:ind w:leftChars="-1" w:rightChars="0" w:firstLineChars="-1"/>
      <w:textDirection w:val="btLr"/>
      <w:textAlignment w:val="top"/>
      <w:outlineLvl w:val="0"/>
    </w:pPr>
    <w:rPr>
      <w:rFonts w:ascii="Times" w:cs="Lucidasans" w:hAnsi="Times"/>
      <w:w w:val="100"/>
      <w:position w:val="-1"/>
      <w:sz w:val="24"/>
      <w:effect w:val="none"/>
      <w:vertAlign w:val="baseline"/>
      <w:cs w:val="0"/>
      <w:em w:val="none"/>
      <w:lang w:bidi="ar-SA" w:eastAsia="ar-SA" w:val="es-ES"/>
    </w:rPr>
  </w:style>
  <w:style w:type="paragraph" w:styleId="Etiqueta">
    <w:name w:val="Etiqueta"/>
    <w:basedOn w:val="Normal"/>
    <w:next w:val="Etiqueta"/>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rFonts w:ascii="Times" w:cs="Lucidasans" w:hAnsi="Times"/>
      <w:i w:val="1"/>
      <w:iCs w:val="1"/>
      <w:w w:val="100"/>
      <w:position w:val="-1"/>
      <w:sz w:val="24"/>
      <w:szCs w:val="24"/>
      <w:effect w:val="none"/>
      <w:vertAlign w:val="baseline"/>
      <w:cs w:val="0"/>
      <w:em w:val="none"/>
      <w:lang w:bidi="ar-SA" w:eastAsia="ar-SA" w:val="es-ES"/>
    </w:rPr>
  </w:style>
  <w:style w:type="paragraph" w:styleId="Índice">
    <w:name w:val="Índice"/>
    <w:basedOn w:val="Normal"/>
    <w:next w:val="Índice"/>
    <w:autoRedefine w:val="0"/>
    <w:hidden w:val="0"/>
    <w:qFormat w:val="0"/>
    <w:pPr>
      <w:suppressLineNumbers w:val="1"/>
      <w:suppressAutoHyphens w:val="0"/>
      <w:spacing w:line="1" w:lineRule="atLeast"/>
      <w:ind w:leftChars="-1" w:rightChars="0" w:firstLineChars="-1"/>
      <w:textDirection w:val="btLr"/>
      <w:textAlignment w:val="top"/>
      <w:outlineLvl w:val="0"/>
    </w:pPr>
    <w:rPr>
      <w:rFonts w:ascii="Times" w:cs="Lucidasans" w:hAnsi="Times"/>
      <w:w w:val="100"/>
      <w:position w:val="-1"/>
      <w:effect w:val="none"/>
      <w:vertAlign w:val="baseline"/>
      <w:cs w:val="0"/>
      <w:em w:val="none"/>
      <w:lang w:bidi="ar-SA" w:eastAsia="ar-SA" w:val="es-ES"/>
    </w:rPr>
  </w:style>
  <w:style w:type="paragraph" w:styleId="Sangríadetextonormal">
    <w:name w:val="Sangría de texto normal"/>
    <w:basedOn w:val="Normal"/>
    <w:next w:val="Sangríadetextonormal"/>
    <w:autoRedefine w:val="0"/>
    <w:hidden w:val="0"/>
    <w:qFormat w:val="0"/>
    <w:pPr>
      <w:suppressAutoHyphens w:val="0"/>
      <w:spacing w:line="1" w:lineRule="atLeast"/>
      <w:ind w:leftChars="-1" w:rightChars="0" w:firstLineChars="-1"/>
      <w:jc w:val="both"/>
      <w:textDirection w:val="btLr"/>
      <w:textAlignment w:val="top"/>
      <w:outlineLvl w:val="0"/>
    </w:pPr>
    <w:rPr>
      <w:b w:val="1"/>
      <w:w w:val="100"/>
      <w:position w:val="-1"/>
      <w:sz w:val="24"/>
      <w:effect w:val="none"/>
      <w:vertAlign w:val="baseline"/>
      <w:cs w:val="0"/>
      <w:em w:val="none"/>
      <w:lang w:bidi="ar-SA" w:eastAsia="ar-SA" w:val="es-MX"/>
    </w:rPr>
  </w:style>
  <w:style w:type="paragraph" w:styleId="Piedepágina">
    <w:name w:val="Pie de página"/>
    <w:basedOn w:val="Normal"/>
    <w:next w:val="Piedepágina"/>
    <w:autoRedefine w:val="0"/>
    <w:hidden w:val="0"/>
    <w:qFormat w:val="0"/>
    <w:pPr>
      <w:tabs>
        <w:tab w:val="center" w:leader="none" w:pos="4419"/>
        <w:tab w:val="right" w:leader="none" w:pos="8838"/>
      </w:tabs>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ar-SA" w:val="es-ES"/>
    </w:rPr>
  </w:style>
  <w:style w:type="paragraph" w:styleId="Encabezado">
    <w:name w:val="Encabezado"/>
    <w:basedOn w:val="Normal"/>
    <w:next w:val="Encabezado"/>
    <w:autoRedefine w:val="0"/>
    <w:hidden w:val="0"/>
    <w:qFormat w:val="0"/>
    <w:pPr>
      <w:tabs>
        <w:tab w:val="center" w:leader="none" w:pos="4252"/>
        <w:tab w:val="right" w:leader="none" w:pos="8504"/>
      </w:tabs>
      <w:suppressAutoHyphens w:val="0"/>
      <w:spacing w:line="1" w:lineRule="atLeast"/>
      <w:ind w:leftChars="-1" w:rightChars="0" w:firstLineChars="-1"/>
      <w:textDirection w:val="btLr"/>
      <w:textAlignment w:val="top"/>
      <w:outlineLvl w:val="0"/>
    </w:pPr>
    <w:rPr>
      <w:rFonts w:ascii="Verdana" w:hAnsi="Verdana"/>
      <w:w w:val="100"/>
      <w:position w:val="-1"/>
      <w:sz w:val="24"/>
      <w:effect w:val="none"/>
      <w:vertAlign w:val="baseline"/>
      <w:cs w:val="0"/>
      <w:em w:val="none"/>
      <w:lang w:bidi="ar-SA" w:eastAsia="ar-SA" w:val="es-ES"/>
    </w:rPr>
  </w:style>
  <w:style w:type="paragraph" w:styleId="Epígrafe1">
    <w:name w:val="Epígrafe1"/>
    <w:basedOn w:val="Normal"/>
    <w:next w:val="Normal"/>
    <w:autoRedefine w:val="0"/>
    <w:hidden w:val="0"/>
    <w:qFormat w:val="0"/>
    <w:pPr>
      <w:suppressAutoHyphens w:val="0"/>
      <w:spacing w:line="1" w:lineRule="atLeast"/>
      <w:ind w:leftChars="-1" w:rightChars="0" w:firstLineChars="-1"/>
      <w:jc w:val="right"/>
      <w:textDirection w:val="btLr"/>
      <w:textAlignment w:val="top"/>
      <w:outlineLvl w:val="0"/>
    </w:pPr>
    <w:rPr>
      <w:b w:val="1"/>
      <w:w w:val="100"/>
      <w:position w:val="-1"/>
      <w:sz w:val="26"/>
      <w:effect w:val="none"/>
      <w:vertAlign w:val="baseline"/>
      <w:cs w:val="0"/>
      <w:em w:val="none"/>
      <w:lang w:bidi="ar-SA" w:eastAsia="ar-SA" w:val="es-ES"/>
    </w:rPr>
  </w:style>
  <w:style w:type="paragraph" w:styleId="Mapadeldocumento1">
    <w:name w:val="Mapa del documento1"/>
    <w:basedOn w:val="Normal"/>
    <w:next w:val="Mapadeldocumento1"/>
    <w:autoRedefine w:val="0"/>
    <w:hidden w:val="0"/>
    <w:qFormat w:val="0"/>
    <w:pPr>
      <w:shd w:color="auto" w:fill="000080" w:val="clear"/>
      <w:suppressAutoHyphens w:val="0"/>
      <w:spacing w:line="1" w:lineRule="atLeast"/>
      <w:ind w:leftChars="-1" w:rightChars="0" w:firstLineChars="-1"/>
      <w:textDirection w:val="btLr"/>
      <w:textAlignment w:val="top"/>
      <w:outlineLvl w:val="0"/>
    </w:pPr>
    <w:rPr>
      <w:rFonts w:ascii="Tahoma" w:cs="Tahoma" w:hAnsi="Tahoma"/>
      <w:w w:val="100"/>
      <w:position w:val="-1"/>
      <w:effect w:val="none"/>
      <w:vertAlign w:val="baseline"/>
      <w:cs w:val="0"/>
      <w:em w:val="none"/>
      <w:lang w:bidi="ar-SA" w:eastAsia="ar-SA" w:val="es-ES"/>
    </w:rPr>
  </w:style>
  <w:style w:type="paragraph" w:styleId="Textodeglobo">
    <w:name w:val="Texto de globo"/>
    <w:basedOn w:val="Normal"/>
    <w:next w:val="Textodeglobo"/>
    <w:autoRedefine w:val="0"/>
    <w:hidden w:val="0"/>
    <w:qFormat w:val="0"/>
    <w:pPr>
      <w:suppressAutoHyphens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ar-SA" w:val="es-ES"/>
    </w:rPr>
  </w:style>
  <w:style w:type="paragraph" w:styleId="PlainText">
    <w:name w:val="Plain Text"/>
    <w:basedOn w:val="Normal"/>
    <w:next w:val="PlainText"/>
    <w:autoRedefine w:val="0"/>
    <w:hidden w:val="0"/>
    <w:qFormat w:val="0"/>
    <w:pPr>
      <w:suppressAutoHyphens w:val="0"/>
      <w:spacing w:line="1" w:lineRule="atLeast"/>
      <w:ind w:leftChars="-1" w:rightChars="0" w:firstLineChars="-1"/>
      <w:textDirection w:val="btLr"/>
      <w:textAlignment w:val="top"/>
      <w:outlineLvl w:val="0"/>
    </w:pPr>
    <w:rPr>
      <w:rFonts w:ascii="Courier New" w:hAnsi="Courier New"/>
      <w:w w:val="100"/>
      <w:position w:val="-1"/>
      <w:effect w:val="none"/>
      <w:vertAlign w:val="baseline"/>
      <w:cs w:val="0"/>
      <w:em w:val="none"/>
      <w:lang w:bidi="ar-SA" w:eastAsia="ar-SA" w:val="es-ES"/>
    </w:rPr>
  </w:style>
  <w:style w:type="paragraph" w:styleId="Textoindependiente21">
    <w:name w:val="Texto independiente 21"/>
    <w:basedOn w:val="Normal"/>
    <w:next w:val="Textoindependiente21"/>
    <w:autoRedefine w:val="0"/>
    <w:hidden w:val="0"/>
    <w:qFormat w:val="0"/>
    <w:pPr>
      <w:suppressAutoHyphens w:val="0"/>
      <w:spacing w:line="1" w:lineRule="atLeast"/>
      <w:ind w:leftChars="-1" w:rightChars="0" w:firstLineChars="-1"/>
      <w:jc w:val="both"/>
      <w:textDirection w:val="btLr"/>
      <w:textAlignment w:val="top"/>
      <w:outlineLvl w:val="0"/>
    </w:pPr>
    <w:rPr>
      <w:bCs w:val="1"/>
      <w:w w:val="100"/>
      <w:position w:val="-1"/>
      <w:sz w:val="24"/>
      <w:effect w:val="none"/>
      <w:vertAlign w:val="baseline"/>
      <w:cs w:val="0"/>
      <w:em w:val="none"/>
      <w:lang w:bidi="ar-SA" w:eastAsia="ar-SA" w:val="es-ES"/>
    </w:rPr>
  </w:style>
  <w:style w:type="paragraph" w:styleId="Textonotapie">
    <w:name w:val="Texto nota pie"/>
    <w:basedOn w:val="Normal"/>
    <w:next w:val="Textonotapie"/>
    <w:autoRedefine w:val="0"/>
    <w:hidden w:val="0"/>
    <w:qFormat w:val="0"/>
    <w:pPr>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ar-SA" w:val="es-AR"/>
    </w:rPr>
  </w:style>
  <w:style w:type="paragraph" w:styleId="BodyText2">
    <w:name w:val="Body Text 2"/>
    <w:basedOn w:val="Normal"/>
    <w:next w:val="BodyText2"/>
    <w:autoRedefine w:val="0"/>
    <w:hidden w:val="0"/>
    <w:qFormat w:val="0"/>
    <w:pPr>
      <w:suppressAutoHyphens w:val="0"/>
      <w:overflowPunct w:val="0"/>
      <w:autoSpaceDE w:val="0"/>
      <w:spacing w:line="1" w:lineRule="atLeast"/>
      <w:ind w:leftChars="-1" w:rightChars="0" w:firstLineChars="-1"/>
      <w:jc w:val="both"/>
      <w:textDirection w:val="btLr"/>
      <w:textAlignment w:val="baseline"/>
      <w:outlineLvl w:val="0"/>
    </w:pPr>
    <w:rPr>
      <w:rFonts w:ascii="AvantGarde Md BT" w:hAnsi="AvantGarde Md BT"/>
      <w:w w:val="100"/>
      <w:position w:val="-1"/>
      <w:sz w:val="24"/>
      <w:effect w:val="none"/>
      <w:vertAlign w:val="baseline"/>
      <w:cs w:val="0"/>
      <w:em w:val="none"/>
      <w:lang w:bidi="ar-SA" w:eastAsia="ar-SA" w:val="es-ES"/>
    </w:rPr>
  </w:style>
  <w:style w:type="paragraph" w:styleId="Sangría2det.independiente1">
    <w:name w:val="Sangría 2 de t. independiente1"/>
    <w:basedOn w:val="Normal"/>
    <w:next w:val="Sangría2det.independiente1"/>
    <w:autoRedefine w:val="0"/>
    <w:hidden w:val="0"/>
    <w:qFormat w:val="0"/>
    <w:pPr>
      <w:tabs>
        <w:tab w:val="left" w:leader="none" w:pos="-720"/>
      </w:tabs>
      <w:suppressAutoHyphens w:val="0"/>
      <w:spacing w:line="360" w:lineRule="auto"/>
      <w:ind w:left="360" w:right="0" w:leftChars="-1" w:rightChars="0" w:firstLine="0" w:firstLineChars="-1"/>
      <w:jc w:val="both"/>
      <w:textDirection w:val="btLr"/>
      <w:textAlignment w:val="top"/>
      <w:outlineLvl w:val="0"/>
    </w:pPr>
    <w:rPr>
      <w:rFonts w:ascii="Comic Sans MS" w:hAnsi="Comic Sans MS"/>
      <w:spacing w:val="-3"/>
      <w:w w:val="100"/>
      <w:position w:val="-1"/>
      <w:sz w:val="24"/>
      <w:szCs w:val="24"/>
      <w:effect w:val="none"/>
      <w:vertAlign w:val="baseline"/>
      <w:cs w:val="0"/>
      <w:em w:val="none"/>
      <w:lang w:bidi="ar-SA" w:eastAsia="ar-SA" w:val="es-ES"/>
    </w:rPr>
  </w:style>
  <w:style w:type="paragraph" w:styleId="Textoindependiente31">
    <w:name w:val="Texto independiente 31"/>
    <w:basedOn w:val="Normal"/>
    <w:next w:val="Textoindependiente31"/>
    <w:autoRedefine w:val="0"/>
    <w:hidden w:val="0"/>
    <w:qFormat w:val="0"/>
    <w:pPr>
      <w:suppressAutoHyphens w:val="0"/>
      <w:spacing w:after="120" w:before="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ar-SA" w:val="es-ES"/>
    </w:rPr>
  </w:style>
  <w:style w:type="paragraph" w:styleId="Contenidodelatabla">
    <w:name w:val="Contenido de la tabla"/>
    <w:basedOn w:val="Normal"/>
    <w:next w:val="Contenidodelatabla"/>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ar-SA" w:val="es-ES"/>
    </w:rPr>
  </w:style>
  <w:style w:type="paragraph" w:styleId="Encabezadodelatabla">
    <w:name w:val="Encabezado de la tabla"/>
    <w:basedOn w:val="Contenidodelatabla"/>
    <w:next w:val="Encabezadodelatabla"/>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effect w:val="none"/>
      <w:vertAlign w:val="baseline"/>
      <w:cs w:val="0"/>
      <w:em w:val="none"/>
      <w:lang w:bidi="ar-SA" w:eastAsia="ar-SA" w:val="es-ES"/>
    </w:rPr>
  </w:style>
  <w:style w:type="table" w:styleId="Tablaconcuadrícula">
    <w:name w:val="Tabla con cuadrícula"/>
    <w:basedOn w:val="Tablanormal"/>
    <w:next w:val="Tablaconcuadrícula"/>
    <w:autoRedefine w:val="0"/>
    <w:hidden w:val="0"/>
    <w:qFormat w:val="0"/>
    <w:pPr>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character" w:styleId="Textoennegrita">
    <w:name w:val="Texto en negrita"/>
    <w:next w:val="Textoennegrita"/>
    <w:autoRedefine w:val="0"/>
    <w:hidden w:val="0"/>
    <w:qFormat w:val="0"/>
    <w:rPr>
      <w:b w:val="1"/>
      <w:bCs w:val="1"/>
      <w:w w:val="100"/>
      <w:position w:val="-1"/>
      <w:effect w:val="none"/>
      <w:vertAlign w:val="baseline"/>
      <w:cs w:val="0"/>
      <w:em w:val="none"/>
      <w:lang/>
    </w:rPr>
  </w:style>
  <w:style w:type="character" w:styleId="Hipervínculovisitado">
    <w:name w:val="Hipervínculo visitado"/>
    <w:next w:val="Hipervínculovisitado"/>
    <w:autoRedefine w:val="0"/>
    <w:hidden w:val="0"/>
    <w:qFormat w:val="0"/>
    <w:rPr>
      <w:color w:val="800080"/>
      <w:w w:val="100"/>
      <w:position w:val="-1"/>
      <w:u w:val="single"/>
      <w:effect w:val="none"/>
      <w:vertAlign w:val="baseline"/>
      <w:cs w:val="0"/>
      <w:em w:val="none"/>
      <w:lang/>
    </w:rPr>
  </w:style>
  <w:style w:type="paragraph" w:styleId="Párrafodelista">
    <w:name w:val="Párrafo de lista"/>
    <w:basedOn w:val="Normal"/>
    <w:next w:val="Párrafodelista"/>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s-ES"/>
    </w:rPr>
  </w:style>
  <w:style w:type="character" w:styleId="Ref.denotaalpie">
    <w:name w:val="Ref. de nota al pie"/>
    <w:next w:val="Ref.denotaalpie"/>
    <w:autoRedefine w:val="0"/>
    <w:hidden w:val="0"/>
    <w:qFormat w:val="0"/>
    <w:rPr>
      <w:w w:val="100"/>
      <w:position w:val="-1"/>
      <w:effect w:val="none"/>
      <w:vertAlign w:val="superscript"/>
      <w:cs w:val="0"/>
      <w:em w:val="none"/>
      <w:lang/>
    </w:rPr>
  </w:style>
  <w:style w:type="character" w:styleId="Título4Car">
    <w:name w:val="Título 4 Car"/>
    <w:next w:val="Título4Car"/>
    <w:autoRedefine w:val="0"/>
    <w:hidden w:val="0"/>
    <w:qFormat w:val="0"/>
    <w:rPr>
      <w:b w:val="1"/>
      <w:bCs w:val="1"/>
      <w:color w:val="00000a"/>
      <w:w w:val="100"/>
      <w:position w:val="-1"/>
      <w:sz w:val="30"/>
      <w:szCs w:val="24"/>
      <w:effect w:val="none"/>
      <w:shd w:color="auto" w:fill="e6e6e6" w:val="clear"/>
      <w:vertAlign w:val="baseline"/>
      <w:cs w:val="0"/>
      <w:em w:val="none"/>
      <w:lang w:bidi="hi-IN" w:eastAsia="zh-CN" w:val="es-ES"/>
    </w:rPr>
  </w:style>
  <w:style w:type="paragraph" w:styleId="Sangría2det.independiente">
    <w:name w:val="Sangría 2 de t. independiente"/>
    <w:basedOn w:val="Normal"/>
    <w:next w:val="Sangría2det.independiente"/>
    <w:autoRedefine w:val="0"/>
    <w:hidden w:val="0"/>
    <w:qFormat w:val="0"/>
    <w:pPr>
      <w:suppressAutoHyphens w:val="0"/>
      <w:spacing w:after="120" w:line="480" w:lineRule="auto"/>
      <w:ind w:left="283" w:leftChars="-1" w:rightChars="0" w:firstLineChars="-1"/>
      <w:textDirection w:val="btLr"/>
      <w:textAlignment w:val="top"/>
      <w:outlineLvl w:val="0"/>
    </w:pPr>
    <w:rPr>
      <w:w w:val="100"/>
      <w:position w:val="-1"/>
      <w:effect w:val="none"/>
      <w:vertAlign w:val="baseline"/>
      <w:cs w:val="0"/>
      <w:em w:val="none"/>
      <w:lang w:bidi="ar-SA" w:eastAsia="ar-SA" w:val="es-ES"/>
    </w:rPr>
  </w:style>
  <w:style w:type="character" w:styleId="Sangría2det.independienteCar">
    <w:name w:val="Sangría 2 de t. independiente Car"/>
    <w:next w:val="Sangría2det.independienteCar"/>
    <w:autoRedefine w:val="0"/>
    <w:hidden w:val="0"/>
    <w:qFormat w:val="0"/>
    <w:rPr>
      <w:w w:val="100"/>
      <w:position w:val="-1"/>
      <w:effect w:val="none"/>
      <w:vertAlign w:val="baseline"/>
      <w:cs w:val="0"/>
      <w:em w:val="none"/>
      <w:lang w:eastAsia="ar-SA" w:val="es-ES"/>
    </w:rPr>
  </w:style>
  <w:style w:type="character" w:styleId="Ref.decomentario">
    <w:name w:val="Ref. de comentario"/>
    <w:next w:val="Ref.decomentario"/>
    <w:autoRedefine w:val="0"/>
    <w:hidden w:val="0"/>
    <w:qFormat w:val="0"/>
    <w:rPr>
      <w:w w:val="100"/>
      <w:position w:val="-1"/>
      <w:sz w:val="16"/>
      <w:szCs w:val="16"/>
      <w:effect w:val="none"/>
      <w:vertAlign w:val="baseline"/>
      <w:cs w:val="0"/>
      <w:em w:val="none"/>
      <w:lang/>
    </w:rPr>
  </w:style>
  <w:style w:type="paragraph" w:styleId="Textocomentario">
    <w:name w:val="Texto comentario"/>
    <w:basedOn w:val="Normal"/>
    <w:next w:val="Textocomentario"/>
    <w:autoRedefine w:val="0"/>
    <w:hidden w:val="0"/>
    <w:qFormat w:val="0"/>
    <w:pPr>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ar-SA" w:val="es-ES"/>
    </w:rPr>
  </w:style>
  <w:style w:type="character" w:styleId="TextocomentarioCar">
    <w:name w:val="Texto comentario Car"/>
    <w:next w:val="TextocomentarioCar"/>
    <w:autoRedefine w:val="0"/>
    <w:hidden w:val="0"/>
    <w:qFormat w:val="0"/>
    <w:rPr>
      <w:w w:val="100"/>
      <w:position w:val="-1"/>
      <w:effect w:val="none"/>
      <w:vertAlign w:val="baseline"/>
      <w:cs w:val="0"/>
      <w:em w:val="none"/>
      <w:lang w:eastAsia="ar-SA" w:val="es-ES"/>
    </w:rPr>
  </w:style>
  <w:style w:type="paragraph" w:styleId="Asuntodelcomentario">
    <w:name w:val="Asunto del comentario"/>
    <w:basedOn w:val="Textocomentario"/>
    <w:next w:val="Textocomentario"/>
    <w:autoRedefine w:val="0"/>
    <w:hidden w:val="0"/>
    <w:qFormat w:val="0"/>
    <w:pPr>
      <w:suppressAutoHyphens w:val="0"/>
      <w:spacing w:line="1" w:lineRule="atLeast"/>
      <w:ind w:leftChars="-1" w:rightChars="0" w:firstLineChars="-1"/>
      <w:textDirection w:val="btLr"/>
      <w:textAlignment w:val="top"/>
      <w:outlineLvl w:val="0"/>
    </w:pPr>
    <w:rPr>
      <w:b w:val="1"/>
      <w:bCs w:val="1"/>
      <w:w w:val="100"/>
      <w:position w:val="-1"/>
      <w:effect w:val="none"/>
      <w:vertAlign w:val="baseline"/>
      <w:cs w:val="0"/>
      <w:em w:val="none"/>
      <w:lang w:bidi="ar-SA" w:eastAsia="ar-SA" w:val="es-ES"/>
    </w:rPr>
  </w:style>
  <w:style w:type="character" w:styleId="AsuntodelcomentarioCar">
    <w:name w:val="Asunto del comentario Car"/>
    <w:next w:val="AsuntodelcomentarioCar"/>
    <w:autoRedefine w:val="0"/>
    <w:hidden w:val="0"/>
    <w:qFormat w:val="0"/>
    <w:rPr>
      <w:b w:val="1"/>
      <w:bCs w:val="1"/>
      <w:w w:val="100"/>
      <w:position w:val="-1"/>
      <w:effect w:val="none"/>
      <w:vertAlign w:val="baseline"/>
      <w:cs w:val="0"/>
      <w:em w:val="none"/>
      <w:lang w:eastAsia="ar-SA" w:val="es-ES"/>
    </w:rPr>
  </w:style>
  <w:style w:type="character" w:styleId="Título1Car">
    <w:name w:val="Título 1 Car"/>
    <w:next w:val="Título1Car"/>
    <w:autoRedefine w:val="0"/>
    <w:hidden w:val="0"/>
    <w:qFormat w:val="0"/>
    <w:rPr>
      <w:rFonts w:ascii="Aptos Display" w:cs="Times New Roman" w:eastAsia="Times New Roman" w:hAnsi="Aptos Display"/>
      <w:b w:val="1"/>
      <w:bCs w:val="1"/>
      <w:w w:val="100"/>
      <w:kern w:val="32"/>
      <w:position w:val="-1"/>
      <w:sz w:val="32"/>
      <w:szCs w:val="32"/>
      <w:effect w:val="none"/>
      <w:vertAlign w:val="baseline"/>
      <w:cs w:val="0"/>
      <w:em w:val="none"/>
      <w:lang w:eastAsia="ar-SA" w:val="es-E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odhklx2S5ZqV4g7JmiIe8juodQ==">CgMxLjAyCGguZ2pkZ3hzOAByITFjbmlBQ0tsUnBVS1Q1US1qMWtZRHk0RnNvbWEyUTlwcA==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2024-05-13T17:51:00Z</dcterms:created>
  <dc:creator>Sergio Merino</dc:creator>
</cp:coreProperties>
</file>