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margin" w:horzAnchor="margin" w:tblpX="0" w:tblpY="0"/>
        <w:tblW w:w="9214.0" w:type="dxa"/>
        <w:jc w:val="left"/>
        <w:tblLayout w:type="fixed"/>
        <w:tblLook w:val="0000"/>
      </w:tblPr>
      <w:tblGrid>
        <w:gridCol w:w="9214"/>
        <w:tblGridChange w:id="0">
          <w:tblGrid>
            <w:gridCol w:w="9214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jc w:val="center"/>
              <w:rPr>
                <w:rFonts w:ascii="Arial" w:cs="Arial" w:eastAsia="Arial" w:hAnsi="Arial"/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jc w:val="center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</w:rPr>
              <w:drawing>
                <wp:inline distB="0" distT="0" distL="114300" distR="114300">
                  <wp:extent cx="3495675" cy="1304925"/>
                  <wp:effectExtent b="0" l="0" r="0" t="0"/>
                  <wp:docPr id="1027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5675" cy="13049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jc w:val="center"/>
              <w:rPr>
                <w:rFonts w:ascii="Arial" w:cs="Arial" w:eastAsia="Arial" w:hAnsi="Arial"/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Dirección General de Educación Superior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jc w:val="center"/>
              <w:rPr>
                <w:rFonts w:ascii="Arial" w:cs="Arial" w:eastAsia="Arial" w:hAnsi="Arial"/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Instituto Superior de Formación Docente N° 803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jc w:val="center"/>
              <w:rPr>
                <w:rFonts w:ascii="Arial" w:cs="Arial" w:eastAsia="Arial" w:hAnsi="Arial"/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Puerto Madryn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B">
            <w:pPr>
              <w:shd w:fill="000000" w:val="clear"/>
              <w:jc w:val="center"/>
              <w:rPr>
                <w:rFonts w:ascii="Arial" w:cs="Arial" w:eastAsia="Arial" w:hAnsi="Arial"/>
                <w:b w:val="0"/>
                <w:bCs w:val="0"/>
                <w:color w:val="ffffff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2"/>
                <w:szCs w:val="22"/>
                <w:vertAlign w:val="baseline"/>
                <w:rtl w:val="0"/>
              </w:rPr>
              <w:t xml:space="preserve">P R O G R A M A   202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C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Carrera:</w:t>
            </w:r>
          </w:p>
          <w:tbl>
            <w:tblPr>
              <w:tblStyle w:val="Table2"/>
              <w:tblW w:w="9199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000"/>
            </w:tblPr>
            <w:tblGrid>
              <w:gridCol w:w="9199"/>
              <w:tblGridChange w:id="0">
                <w:tblGrid>
                  <w:gridCol w:w="9199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vAlign w:val="top"/>
                </w:tcPr>
                <w:p w:rsidR="00000000" w:rsidDel="00000000" w:rsidP="00000000" w:rsidRDefault="00000000" w:rsidRPr="00000000" w14:paraId="0000000F">
                  <w:pPr>
                    <w:rPr>
                      <w:rFonts w:ascii="Arial" w:cs="Arial" w:eastAsia="Arial" w:hAnsi="Arial"/>
                      <w:b w:val="0"/>
                      <w:bCs w:val="0"/>
                      <w:vertAlign w:val="baseline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vertAlign w:val="baseline"/>
                      <w:rtl w:val="0"/>
                    </w:rPr>
                    <w:t xml:space="preserve">Profesorado de Educación en Educación Tecnológica- RES N°329/22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10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Espacio curricular                                                         Equipo Docente</w:t>
            </w:r>
          </w:p>
          <w:tbl>
            <w:tblPr>
              <w:tblStyle w:val="Table3"/>
              <w:tblW w:w="9199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000"/>
            </w:tblPr>
            <w:tblGrid>
              <w:gridCol w:w="4599"/>
              <w:gridCol w:w="4600"/>
              <w:tblGridChange w:id="0">
                <w:tblGrid>
                  <w:gridCol w:w="4599"/>
                  <w:gridCol w:w="4600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012">
                  <w:pPr>
                    <w:rPr>
                      <w:rFonts w:ascii="Arial" w:cs="Arial" w:eastAsia="Arial" w:hAnsi="Arial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13">
                  <w:pPr>
                    <w:rPr>
                      <w:rFonts w:ascii="Arial" w:cs="Arial" w:eastAsia="Arial" w:hAnsi="Arial"/>
                      <w:vertAlign w:val="baseline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vertAlign w:val="baseline"/>
                      <w:rtl w:val="0"/>
                    </w:rPr>
                    <w:t xml:space="preserve">Psicología Educacional</w:t>
                  </w:r>
                </w:p>
                <w:p w:rsidR="00000000" w:rsidDel="00000000" w:rsidP="00000000" w:rsidRDefault="00000000" w:rsidRPr="00000000" w14:paraId="00000014">
                  <w:pPr>
                    <w:rPr>
                      <w:rFonts w:ascii="Arial" w:cs="Arial" w:eastAsia="Arial" w:hAnsi="Arial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015">
                  <w:pPr>
                    <w:rPr>
                      <w:rFonts w:ascii="Arial" w:cs="Arial" w:eastAsia="Arial" w:hAnsi="Arial"/>
                      <w:vertAlign w:val="baseline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vertAlign w:val="baseline"/>
                      <w:rtl w:val="0"/>
                    </w:rPr>
                    <w:t xml:space="preserve">Prof. y Lic. Castelnuovo Renata Sabrina</w:t>
                  </w:r>
                </w:p>
              </w:tc>
            </w:tr>
          </w:tbl>
          <w:p w:rsidR="00000000" w:rsidDel="00000000" w:rsidP="00000000" w:rsidRDefault="00000000" w:rsidRPr="00000000" w14:paraId="00000016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0d0d0d" w:val="clear"/>
        <w:jc w:val="both"/>
        <w:rPr>
          <w:rFonts w:ascii="Arial" w:cs="Arial" w:eastAsia="Arial" w:hAnsi="Arial"/>
          <w:b w:val="0"/>
          <w:bCs w:val="0"/>
          <w:color w:val="ffffff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ffffff"/>
          <w:vertAlign w:val="baseline"/>
          <w:rtl w:val="0"/>
        </w:rPr>
        <w:t xml:space="preserve">1. FUNDAMENTACIÓN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before="50" w:lineRule="auto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El propósito de esta asignatura es que los futuros/as docentes adquieran herramientas cognitivas necesarias para posicionarse frente a los actores partícipes de la educación, como sujetos que transitan procesos de desarrollo subjetivo y que en el transitar la escuela, forman parte de la construcción del dispositivo escolar. </w:t>
      </w:r>
    </w:p>
    <w:p w:rsidR="00000000" w:rsidDel="00000000" w:rsidP="00000000" w:rsidRDefault="00000000" w:rsidRPr="00000000" w14:paraId="0000001B">
      <w:pPr>
        <w:spacing w:after="0" w:before="50" w:lineRule="auto"/>
        <w:jc w:val="both"/>
        <w:rPr>
          <w:rFonts w:ascii="Arial" w:cs="Arial" w:eastAsia="Arial" w:hAnsi="Arial"/>
          <w:b w:val="0"/>
          <w:bCs w:val="0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Por ello, la importancia de abordar diversos aportes de la psicología, que permitan reflexionar y producir conocimiento sobre los modelos psicológicos del aprendizaje, desarrollo y socialización. Los mismos, posibilitan la construcción de marcos conceptuales que permiten complejizar las relaciones entre el sujeto y el aprendizaje escolar, el conocimiento cotidiano y el escolar. Así mismo, el abordaje de los distintos enfoques psicológicos, desde una mirada crítica, aporta a la intervención en los diferentes escenarios educativos, los diferentes modelos psicológicos del aprendizaje con sus fortalezas y limitaciones. Analizar el aprendizaje, con especial énfasis en el aprendizaje escolar, aporta a la comprensión de su dinámica, riqueza y dimensiones, es un soporte fundamental para apoyar los procesos de mediación del docente en el diseño y la coordinación de la enseñanza.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ffff"/>
          <w:vertAlign w:val="baseline"/>
          <w:rtl w:val="0"/>
        </w:rPr>
        <w:t xml:space="preserve">2.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240" w:lineRule="auto"/>
        <w:jc w:val="both"/>
        <w:rPr>
          <w:rFonts w:ascii="Arial" w:cs="Arial" w:eastAsia="Arial" w:hAnsi="Arial"/>
          <w:b w:val="0"/>
          <w:bCs w:val="0"/>
          <w:u w:val="singl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u w:val="single"/>
          <w:vertAlign w:val="baseline"/>
          <w:rtl w:val="0"/>
        </w:rPr>
        <w:t xml:space="preserve">OBJETIVOS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240" w:lineRule="auto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Macro-objetivos</w:t>
      </w:r>
    </w:p>
    <w:p w:rsidR="00000000" w:rsidDel="00000000" w:rsidP="00000000" w:rsidRDefault="00000000" w:rsidRPr="00000000" w14:paraId="0000001E">
      <w:pPr>
        <w:spacing w:after="240" w:lineRule="auto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● Comprender los estudios y conceptos básicos de la psicología como ciencia.</w:t>
      </w:r>
    </w:p>
    <w:p w:rsidR="00000000" w:rsidDel="00000000" w:rsidP="00000000" w:rsidRDefault="00000000" w:rsidRPr="00000000" w14:paraId="0000001F">
      <w:pPr>
        <w:spacing w:after="240" w:lineRule="auto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● Abordar las diferentes teorías sobre el desarrollo cognitivo y social con énfasis en el</w:t>
      </w:r>
    </w:p>
    <w:p w:rsidR="00000000" w:rsidDel="00000000" w:rsidP="00000000" w:rsidRDefault="00000000" w:rsidRPr="00000000" w14:paraId="00000020">
      <w:pPr>
        <w:spacing w:after="240" w:lineRule="auto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proceso de aprendizaje.</w:t>
      </w:r>
    </w:p>
    <w:p w:rsidR="00000000" w:rsidDel="00000000" w:rsidP="00000000" w:rsidRDefault="00000000" w:rsidRPr="00000000" w14:paraId="00000021">
      <w:pPr>
        <w:spacing w:after="240" w:lineRule="auto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● Incentivar un marco general de carácter reflexivo y crítico acerca de los alcances y</w:t>
      </w:r>
    </w:p>
    <w:p w:rsidR="00000000" w:rsidDel="00000000" w:rsidP="00000000" w:rsidRDefault="00000000" w:rsidRPr="00000000" w14:paraId="00000022">
      <w:pPr>
        <w:spacing w:after="240" w:lineRule="auto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profundidad de los conceptos dados.</w:t>
      </w:r>
    </w:p>
    <w:p w:rsidR="00000000" w:rsidDel="00000000" w:rsidP="00000000" w:rsidRDefault="00000000" w:rsidRPr="00000000" w14:paraId="00000023">
      <w:pPr>
        <w:spacing w:after="240" w:lineRule="auto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● Abordar y reflexionar respecto de la concepción del niño en contexto educacional.</w:t>
      </w:r>
    </w:p>
    <w:p w:rsidR="00000000" w:rsidDel="00000000" w:rsidP="00000000" w:rsidRDefault="00000000" w:rsidRPr="00000000" w14:paraId="00000024">
      <w:pPr>
        <w:spacing w:after="240" w:lineRule="auto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Micro-objetivos</w:t>
      </w:r>
    </w:p>
    <w:p w:rsidR="00000000" w:rsidDel="00000000" w:rsidP="00000000" w:rsidRDefault="00000000" w:rsidRPr="00000000" w14:paraId="00000025">
      <w:pPr>
        <w:spacing w:after="240" w:lineRule="auto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● Desarrollar marcos de reflexión acorde con situaciones susceptibles de ser</w:t>
      </w:r>
    </w:p>
    <w:p w:rsidR="00000000" w:rsidDel="00000000" w:rsidP="00000000" w:rsidRDefault="00000000" w:rsidRPr="00000000" w14:paraId="00000026">
      <w:pPr>
        <w:spacing w:after="240" w:lineRule="auto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trasladadas al ámbito de la actualidad local.</w:t>
      </w:r>
    </w:p>
    <w:p w:rsidR="00000000" w:rsidDel="00000000" w:rsidP="00000000" w:rsidRDefault="00000000" w:rsidRPr="00000000" w14:paraId="00000027">
      <w:pPr>
        <w:spacing w:after="240" w:lineRule="auto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● Proponer los conceptos en forma abierta a la discusión, prestando al debate</w:t>
      </w:r>
    </w:p>
    <w:p w:rsidR="00000000" w:rsidDel="00000000" w:rsidP="00000000" w:rsidRDefault="00000000" w:rsidRPr="00000000" w14:paraId="00000028">
      <w:pPr>
        <w:spacing w:after="240" w:lineRule="auto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constructivo en el aula.</w:t>
      </w:r>
    </w:p>
    <w:p w:rsidR="00000000" w:rsidDel="00000000" w:rsidP="00000000" w:rsidRDefault="00000000" w:rsidRPr="00000000" w14:paraId="00000029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0d0d0d" w:val="clear"/>
        <w:spacing w:after="240" w:lineRule="auto"/>
        <w:jc w:val="both"/>
        <w:rPr>
          <w:rFonts w:ascii="Arial" w:cs="Arial" w:eastAsia="Arial" w:hAnsi="Arial"/>
          <w:b w:val="0"/>
          <w:bCs w:val="0"/>
          <w:color w:val="ffffff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color w:val="ffffff"/>
          <w:vertAlign w:val="baseline"/>
          <w:rtl w:val="0"/>
        </w:rPr>
        <w:t xml:space="preserve">3. CONTENIDOS – BIBLIOGRAFÍA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0" w:line="240" w:lineRule="auto"/>
        <w:ind w:left="0" w:right="0" w:firstLine="0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u w:val="single"/>
          <w:vertAlign w:val="baseline"/>
          <w:rtl w:val="0"/>
        </w:rPr>
        <w:t xml:space="preserve">EJE 1. Introducción a la Psicología educacional, y aportes de diferentes corrientes teóricas.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Psicología y Educación: definición, objetivos y áreas. Teoría de la conducta: Conductismo de Watson y definición actual de conducta. Teoría Psicoanalítica: Constitución del Sujeto Psíquico, herencia-construcción. Sigmund Freud: aparato psíquico, identificación, desarrollo psicosexual. Teoría Psicogenética: Jean Piaget procesos de asimilación y acomodación, equilibración, estadios del desarrollo cognitivo. Teoría Sociohistórica: Lev Vigotsky, procesos psicológicos elementales y superiores, Interiorización, Instrumentos mediadores, Zona de Desarrollo próximo; Jerome Bruner, Andamiaje. Teorías cognitivas: A. Beck, procesamiento de la información; H. Gardner, inteligencias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múltiples, D. Ausubel Aprendizaje Significativo. Prácticas educativas y procesos de escolarización. Relación Desarrollo, Aprendizaje y Enseñanza. </w:t>
      </w:r>
    </w:p>
    <w:p w:rsidR="00000000" w:rsidDel="00000000" w:rsidP="00000000" w:rsidRDefault="00000000" w:rsidRPr="00000000" w14:paraId="0000002B">
      <w:pPr>
        <w:spacing w:after="240" w:lineRule="auto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Bibliografía Obligatoria: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spacing w:after="240" w:lineRule="auto"/>
        <w:ind w:left="720" w:hanging="360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ARDILA, R. (2013). Los orígenes del conductismo, Watson y el manifiesto conductista de 1913. Revista Latinoamericana de psicología, Vol. 45 nro 2. Pp 315-319- Fundación Universitaria Konrad Lorenz. Bogotá, Colombia.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spacing w:after="240" w:lineRule="auto"/>
        <w:ind w:left="720" w:hanging="360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CASTELNUOVO, R. (2020). Introducción a la Psicología Educacional. Documento de Cátedra. Psicología Educacional, Instituto Superior de Formación Docente 803, Puerto Madryn.</w:t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spacing w:after="240" w:lineRule="auto"/>
        <w:ind w:left="720" w:hanging="360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CASTELNUOVO, R. (2020). Teorías Cognitivas. Documento de Cátedra. Psicología Educacional, Instituto Superior de Formación Docente 803, Puerto Madryn.</w:t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spacing w:after="240" w:lineRule="auto"/>
        <w:ind w:left="720" w:hanging="360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CASTELNUOVO, R. (2020). Crecimiento, maduración y desarrollo. Documento de Cátedra. Psicología Educacional, Instituto Superior de Formación Docente 803, Puerto Madryn.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spacing w:after="240" w:lineRule="auto"/>
        <w:ind w:left="720" w:hanging="360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COLL, C. (1998). Psicología de la Educación. Edhasa. ISBN 8435069001,9788435069007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spacing w:after="240" w:lineRule="auto"/>
        <w:ind w:left="720" w:hanging="360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GRASSI, A. y CORDOVA, N. (2010). La Primavera del significante en “Entre niños, adolescentes y relaciones parentales”. Pp 25-35.  Ed. Entreideas, Buenos Aires. 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spacing w:after="240" w:lineRule="auto"/>
        <w:ind w:left="720" w:hanging="360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LELIWA, S, SCANGARELLO, I (2011). Psicología y Educación, Cap. 2,3,4,5 y 6). Edit. Brujas, Córdoba. </w:t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spacing w:after="240" w:lineRule="auto"/>
        <w:ind w:left="720" w:hanging="360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WOOLFOLK, A. (1999). Psicología educativa. Cap. 7. Teorías Cognoscitivas, selección de Ap. PRENTICE HALL, México. </w:t>
      </w:r>
    </w:p>
    <w:p w:rsidR="00000000" w:rsidDel="00000000" w:rsidP="00000000" w:rsidRDefault="00000000" w:rsidRPr="00000000" w14:paraId="00000034">
      <w:pPr>
        <w:spacing w:after="240" w:lineRule="auto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Bibliografía Complementaria:</w:t>
      </w:r>
    </w:p>
    <w:p w:rsidR="00000000" w:rsidDel="00000000" w:rsidP="00000000" w:rsidRDefault="00000000" w:rsidRPr="00000000" w14:paraId="00000035">
      <w:pPr>
        <w:numPr>
          <w:ilvl w:val="0"/>
          <w:numId w:val="2"/>
        </w:numPr>
        <w:spacing w:after="240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BAQUERO, R. (2001). Vigostky y el aprendizaje escolar. Aique Grupo Editor S.A., Buenos Aires. </w:t>
      </w:r>
    </w:p>
    <w:p w:rsidR="00000000" w:rsidDel="00000000" w:rsidP="00000000" w:rsidRDefault="00000000" w:rsidRPr="00000000" w14:paraId="00000036">
      <w:pPr>
        <w:numPr>
          <w:ilvl w:val="0"/>
          <w:numId w:val="2"/>
        </w:numPr>
        <w:spacing w:after="240" w:lineRule="auto"/>
        <w:ind w:left="720" w:hanging="360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CAZDEN, C (1991). El discurso en el aula. Paidos, Barcelona.</w:t>
      </w:r>
    </w:p>
    <w:p w:rsidR="00000000" w:rsidDel="00000000" w:rsidP="00000000" w:rsidRDefault="00000000" w:rsidRPr="00000000" w14:paraId="00000037">
      <w:pPr>
        <w:numPr>
          <w:ilvl w:val="0"/>
          <w:numId w:val="2"/>
        </w:numPr>
        <w:spacing w:after="240" w:lineRule="auto"/>
        <w:ind w:left="720" w:hanging="360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CASULLO, M.M. (1991). Psicología para docentes. Guadalupe, Buenos Aires.</w:t>
      </w:r>
    </w:p>
    <w:p w:rsidR="00000000" w:rsidDel="00000000" w:rsidP="00000000" w:rsidRDefault="00000000" w:rsidRPr="00000000" w14:paraId="00000038">
      <w:pPr>
        <w:numPr>
          <w:ilvl w:val="0"/>
          <w:numId w:val="2"/>
        </w:numPr>
        <w:spacing w:after="240" w:lineRule="auto"/>
        <w:ind w:left="720" w:hanging="360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FREUD, S. (1996). “Esquema de Psicoanálisis”. En J. L. Etcheverry (Traduc.), Obras Completas: Sigmund Freud (Vol. 23, pp. 143-145; 150-154).Amorrortu, Buenos Aires.  (Trabajo original publicado 1939)</w:t>
      </w:r>
    </w:p>
    <w:p w:rsidR="00000000" w:rsidDel="00000000" w:rsidP="00000000" w:rsidRDefault="00000000" w:rsidRPr="00000000" w14:paraId="00000039">
      <w:pPr>
        <w:numPr>
          <w:ilvl w:val="0"/>
          <w:numId w:val="2"/>
        </w:numPr>
        <w:spacing w:after="240" w:lineRule="auto"/>
        <w:ind w:left="720" w:hanging="360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GARCIA ALLEN, J. (07/2003). La Terapia Cognitiva de Aaron Beck. En Psicología y Mente [Artículo]. Recuperado de: https://psicologiaymente.com/clinica/terapia-cognitiva-aaron-beck [23/05/2019].</w:t>
      </w:r>
    </w:p>
    <w:p w:rsidR="00000000" w:rsidDel="00000000" w:rsidP="00000000" w:rsidRDefault="00000000" w:rsidRPr="00000000" w14:paraId="0000003A">
      <w:pPr>
        <w:numPr>
          <w:ilvl w:val="0"/>
          <w:numId w:val="2"/>
        </w:numPr>
        <w:spacing w:after="240" w:lineRule="auto"/>
        <w:ind w:left="720" w:hanging="360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GONZÁLEZ ZEPEDA, ADRIANA (2004). Aportaciones de la psicología conductual a la educación. Revista Electrónica Sinéctica, Número 25(número de la revista), 15-22. Instituto Tecnológico y de Estudios Superiores de Occidente Jalisco, México. Recuperado de Redalyc.Aportaciones de la psicología conductual a la educación.</w:t>
      </w:r>
    </w:p>
    <w:p w:rsidR="00000000" w:rsidDel="00000000" w:rsidP="00000000" w:rsidRDefault="00000000" w:rsidRPr="00000000" w14:paraId="0000003B">
      <w:pPr>
        <w:numPr>
          <w:ilvl w:val="0"/>
          <w:numId w:val="2"/>
        </w:numPr>
        <w:spacing w:after="240" w:lineRule="auto"/>
        <w:ind w:left="720" w:hanging="360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PIAGET, J. (1973). Estudios de psicología genética. Emece Editores, Buenos Aires.</w:t>
      </w:r>
    </w:p>
    <w:p w:rsidR="00000000" w:rsidDel="00000000" w:rsidP="00000000" w:rsidRDefault="00000000" w:rsidRPr="00000000" w14:paraId="0000003C">
      <w:pPr>
        <w:numPr>
          <w:ilvl w:val="0"/>
          <w:numId w:val="2"/>
        </w:numPr>
        <w:spacing w:after="240" w:lineRule="auto"/>
        <w:ind w:left="720" w:hanging="360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WOOLFOLK, A. (1999). Psicología educativa. Cap. 1 “Maestros, la enseñanza y la Psicología Educacional”, selección de Ap.. PRENTICE HALL, México. </w:t>
      </w:r>
    </w:p>
    <w:p w:rsidR="00000000" w:rsidDel="00000000" w:rsidP="00000000" w:rsidRDefault="00000000" w:rsidRPr="00000000" w14:paraId="0000003D">
      <w:pPr>
        <w:tabs>
          <w:tab w:val="left" w:leader="none" w:pos="1267"/>
        </w:tabs>
        <w:spacing w:after="240" w:lineRule="auto"/>
        <w:jc w:val="both"/>
        <w:rPr>
          <w:rFonts w:ascii="Arial" w:cs="Arial" w:eastAsia="Arial" w:hAnsi="Arial"/>
          <w:b w:val="0"/>
          <w:bCs w:val="0"/>
          <w:u w:val="singl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u w:val="single"/>
          <w:vertAlign w:val="baseline"/>
          <w:rtl w:val="0"/>
        </w:rPr>
        <w:t xml:space="preserve">EJE 2: Enseñanza y aprendizaje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240" w:lineRule="auto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Aprendizaje y aprendizaje escolar. Constitución subjetiva. Berger y Luckmann: socialización primaria y secundaria. El deseo de aprender y el deseo de enseñar: objeto a. La motivación: pirámide de Maslow. Conocimiento espontáneo y conocimiento escolar. Modalidades de enseñanza y aprendizaje: hablar y escuchar; comprensión de textos.</w:t>
      </w:r>
    </w:p>
    <w:p w:rsidR="00000000" w:rsidDel="00000000" w:rsidP="00000000" w:rsidRDefault="00000000" w:rsidRPr="00000000" w14:paraId="0000003F">
      <w:pPr>
        <w:spacing w:after="240" w:lineRule="auto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Bibliografía Obligatoria </w:t>
      </w:r>
    </w:p>
    <w:p w:rsidR="00000000" w:rsidDel="00000000" w:rsidP="00000000" w:rsidRDefault="00000000" w:rsidRPr="00000000" w14:paraId="00000040">
      <w:pPr>
        <w:numPr>
          <w:ilvl w:val="0"/>
          <w:numId w:val="3"/>
        </w:numPr>
        <w:spacing w:after="240" w:lineRule="auto"/>
        <w:ind w:left="720" w:hanging="360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CASTELNUOVO, R. (2022). Procesos de Socialización Primaria y Secundaria. Documento de Cátedra. Psicología Educacional, Instituto Superior de Formación Docente 803, Puerto Madryn.</w:t>
      </w:r>
    </w:p>
    <w:p w:rsidR="00000000" w:rsidDel="00000000" w:rsidP="00000000" w:rsidRDefault="00000000" w:rsidRPr="00000000" w14:paraId="00000041">
      <w:pPr>
        <w:numPr>
          <w:ilvl w:val="0"/>
          <w:numId w:val="3"/>
        </w:numPr>
        <w:spacing w:after="240" w:lineRule="auto"/>
        <w:ind w:left="720" w:hanging="360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LELIWA, S, SCANGARELLO, I (2011). Psicología y Educación. Cap.2 Constitución del Sujeto Psíquico. Edit. Brujas, Córdoba.</w:t>
      </w:r>
    </w:p>
    <w:p w:rsidR="00000000" w:rsidDel="00000000" w:rsidP="00000000" w:rsidRDefault="00000000" w:rsidRPr="00000000" w14:paraId="00000042">
      <w:pPr>
        <w:numPr>
          <w:ilvl w:val="0"/>
          <w:numId w:val="3"/>
        </w:numPr>
        <w:spacing w:after="240" w:lineRule="auto"/>
        <w:ind w:left="720" w:hanging="360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RODRIGO, M. J. (1997) "El hombre de la calle, el científico y el alumno: ¿un solo constructivismo o tres?". Novedades Educativas, vol. 76, pp. 59-61.</w:t>
      </w:r>
    </w:p>
    <w:p w:rsidR="00000000" w:rsidDel="00000000" w:rsidP="00000000" w:rsidRDefault="00000000" w:rsidRPr="00000000" w14:paraId="00000043">
      <w:pPr>
        <w:numPr>
          <w:ilvl w:val="0"/>
          <w:numId w:val="3"/>
        </w:numPr>
        <w:spacing w:after="240" w:lineRule="auto"/>
        <w:ind w:left="720" w:hanging="360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TAPIA, J. A. (1997). Cap. 1. Un problema: ¿qué hacer para motivar a mis alumnos?, Cap. 2 Razones de los alumnos y alumnas para trabajar en clase. En “Motivar para el aprendizaje”. Edebé. España.   Capitulo 1 y 2</w:t>
      </w:r>
    </w:p>
    <w:p w:rsidR="00000000" w:rsidDel="00000000" w:rsidP="00000000" w:rsidRDefault="00000000" w:rsidRPr="00000000" w14:paraId="00000044">
      <w:pPr>
        <w:numPr>
          <w:ilvl w:val="0"/>
          <w:numId w:val="3"/>
        </w:numPr>
        <w:spacing w:after="240" w:lineRule="auto"/>
        <w:ind w:left="720" w:hanging="360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BARREIRO, T. (2009). Los del Fondo (Capítulos 2, 4 y 6). Novedades Educativas.</w:t>
      </w:r>
    </w:p>
    <w:p w:rsidR="00000000" w:rsidDel="00000000" w:rsidP="00000000" w:rsidRDefault="00000000" w:rsidRPr="00000000" w14:paraId="00000045">
      <w:pPr>
        <w:spacing w:after="240" w:lineRule="auto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Bibliografía Complementaria:</w:t>
      </w:r>
    </w:p>
    <w:p w:rsidR="00000000" w:rsidDel="00000000" w:rsidP="00000000" w:rsidRDefault="00000000" w:rsidRPr="00000000" w14:paraId="00000046">
      <w:pPr>
        <w:numPr>
          <w:ilvl w:val="0"/>
          <w:numId w:val="4"/>
        </w:numPr>
        <w:spacing w:after="240" w:lineRule="auto"/>
        <w:ind w:left="720" w:hanging="360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HUERTAS, J (1997). Motivaciòn, querer aprender. Aique Grupo Editor S.A.</w:t>
      </w:r>
    </w:p>
    <w:p w:rsidR="00000000" w:rsidDel="00000000" w:rsidP="00000000" w:rsidRDefault="00000000" w:rsidRPr="00000000" w14:paraId="00000047">
      <w:pPr>
        <w:numPr>
          <w:ilvl w:val="0"/>
          <w:numId w:val="4"/>
        </w:numPr>
        <w:spacing w:after="240" w:lineRule="auto"/>
        <w:ind w:left="720" w:hanging="360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BERGER P. y T. LUCKMANN (1986): La construcción social de la realidad. Amorrortu, Buenos Aires.</w:t>
      </w:r>
    </w:p>
    <w:p w:rsidR="00000000" w:rsidDel="00000000" w:rsidP="00000000" w:rsidRDefault="00000000" w:rsidRPr="00000000" w14:paraId="00000048">
      <w:pPr>
        <w:spacing w:after="240" w:lineRule="auto"/>
        <w:jc w:val="both"/>
        <w:rPr>
          <w:rFonts w:ascii="Arial" w:cs="Arial" w:eastAsia="Arial" w:hAnsi="Arial"/>
          <w:b w:val="0"/>
          <w:bCs w:val="0"/>
          <w:u w:val="singl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u w:val="single"/>
          <w:vertAlign w:val="baseline"/>
          <w:rtl w:val="0"/>
        </w:rPr>
        <w:t xml:space="preserve">EJE 3: El aula, educación inclusiva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0" w:line="240" w:lineRule="auto"/>
        <w:ind w:left="0" w:righ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Aprender en el aula. Clima de la clase, vínculos, interacciones, relaciones de poder. Dimensión Psicoafectiva. Infancias y adolescencias en las escuelas. La educación inclusiva y los sujetos.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0" w:line="240" w:lineRule="auto"/>
        <w:ind w:left="0" w:righ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Inclusión, ideal pansófico comeniano y homogeneización. Redistribución y reconocimiento. Inclusión y calidad. Inclusión e integración: concepciones acerca de lo diverso. El fracaso escolar desde una perspectiva psicoeducativa situacional. Crítica al modelo patológico individual del fracaso escolar.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0" w:line="240" w:lineRule="auto"/>
        <w:ind w:left="0" w:righ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Inclusión e integración. Culturas, políticas y prácticas inclusivas. De las “necesidades educativas especiales” a la consideración de las “barreras para el aprendizaje y la participación”. Igualdad, diversidad y justicia. Prácticas inclusivas en el caso del trastorno del espectro autista (TEA). Trastorno o condición.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0" w:line="240" w:lineRule="auto"/>
        <w:ind w:left="0" w:righ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Discapacidad o neurodiversidad. La importancia del diagnóstico. Algunas estrategias de intervención educativa. Trabajo con la confianza de los alumnos y la eliminación de etiquetas en el desarrollo de la práctica. Autoridad.</w:t>
      </w:r>
    </w:p>
    <w:p w:rsidR="00000000" w:rsidDel="00000000" w:rsidP="00000000" w:rsidRDefault="00000000" w:rsidRPr="00000000" w14:paraId="0000004D">
      <w:pPr>
        <w:spacing w:after="240" w:lineRule="auto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Bibliografía Obligatoria:</w:t>
      </w:r>
    </w:p>
    <w:p w:rsidR="00000000" w:rsidDel="00000000" w:rsidP="00000000" w:rsidRDefault="00000000" w:rsidRPr="00000000" w14:paraId="0000004E">
      <w:pPr>
        <w:numPr>
          <w:ilvl w:val="0"/>
          <w:numId w:val="5"/>
        </w:numPr>
        <w:spacing w:after="240" w:lineRule="auto"/>
        <w:ind w:left="720" w:hanging="360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BARREIRO, T. (2009). Los del Fondo. Novedades Educativas.</w:t>
      </w:r>
    </w:p>
    <w:p w:rsidR="00000000" w:rsidDel="00000000" w:rsidP="00000000" w:rsidRDefault="00000000" w:rsidRPr="00000000" w14:paraId="0000004F">
      <w:pPr>
        <w:numPr>
          <w:ilvl w:val="0"/>
          <w:numId w:val="5"/>
        </w:numPr>
        <w:spacing w:after="240" w:lineRule="auto"/>
        <w:ind w:left="720" w:hanging="360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BENASAYAG, M. &amp; SCHMIT, G. (2010). Ética y etiqueta. Cap. 6. En Las pasiones tristes. Sufrimiento psíquico y crisis social (pp. 77-97). Buenos Aires: Siglo XXI.</w:t>
      </w:r>
    </w:p>
    <w:p w:rsidR="00000000" w:rsidDel="00000000" w:rsidP="00000000" w:rsidRDefault="00000000" w:rsidRPr="00000000" w14:paraId="00000050">
      <w:pPr>
        <w:numPr>
          <w:ilvl w:val="0"/>
          <w:numId w:val="5"/>
        </w:numPr>
        <w:spacing w:after="240" w:lineRule="auto"/>
        <w:ind w:left="720" w:hanging="360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CADAVEIRA, M. (2019). Cap. 2. Autismos: otras formas de ver el mundo. En L. Bakker y J. Rubiales, Neuroeducación y diversidad. Herramientas para potenciar las diferentes maneras de aprender (pp. 21-34). Buenos Aires: Akadia.</w:t>
      </w:r>
    </w:p>
    <w:p w:rsidR="00000000" w:rsidDel="00000000" w:rsidP="00000000" w:rsidRDefault="00000000" w:rsidRPr="00000000" w14:paraId="00000051">
      <w:pPr>
        <w:numPr>
          <w:ilvl w:val="0"/>
          <w:numId w:val="5"/>
        </w:numPr>
        <w:spacing w:after="240" w:lineRule="auto"/>
        <w:ind w:left="720" w:hanging="360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CORNU, L. (1999) La confianza en las relaciones pedagógicas. En G. Frigerio; M. Poggi; D. Korinfeld (comps) Construyendo un saber sobre el interior de la escuela (pp. 19-26). Buenos Aires: CEM-Novedades Educativas</w:t>
      </w:r>
    </w:p>
    <w:p w:rsidR="00000000" w:rsidDel="00000000" w:rsidP="00000000" w:rsidRDefault="00000000" w:rsidRPr="00000000" w14:paraId="00000052">
      <w:pPr>
        <w:numPr>
          <w:ilvl w:val="0"/>
          <w:numId w:val="5"/>
        </w:numPr>
        <w:spacing w:after="240" w:lineRule="auto"/>
        <w:ind w:left="720" w:hanging="360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GLAZ, C. (2017). Problemáticas en el aprendizaje de jóvenes y adultos, en De aquí y de allá Experiencias en escenarios educativos interpeladas desde la perspectiva sociocultural. Compilado y editado por Cristina Erausquin – 1a ed. PsiDispa, CABA.</w:t>
      </w:r>
    </w:p>
    <w:p w:rsidR="00000000" w:rsidDel="00000000" w:rsidP="00000000" w:rsidRDefault="00000000" w:rsidRPr="00000000" w14:paraId="00000053">
      <w:pPr>
        <w:widowControl w:val="0"/>
        <w:numPr>
          <w:ilvl w:val="0"/>
          <w:numId w:val="5"/>
        </w:numPr>
        <w:spacing w:line="360" w:lineRule="auto"/>
        <w:ind w:left="720" w:hanging="360"/>
        <w:jc w:val="both"/>
        <w:rPr/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MINISTERIO DE EDUCACIÓN, CULTURA, CIENCIA Y TECNOLOGÍA (2019). Educación Inclusiva: fundamentos y prácticas para la inclusión. La Ed. Ministerio de educación, Cultura, Ciencia y Tecnología. CABA. ISNB 978-987-47076-5-9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widowControl w:val="0"/>
        <w:numPr>
          <w:ilvl w:val="0"/>
          <w:numId w:val="5"/>
        </w:numPr>
        <w:spacing w:line="360" w:lineRule="auto"/>
        <w:ind w:left="720" w:hanging="360"/>
        <w:jc w:val="both"/>
        <w:rPr/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MINISTERIO DE EDUCACIÓN, CULTURA, CIENCIA Y TECNOLOGÍA (2019). Eliminando barreras para el aprendizaje y la participación en alumnos con dificultades específicas del aprendizaje (DEA). La Ed. Ministerio de educación, Cultura, Ciencia y Tecnología. CABA. ISNB 978-987-47076-6-6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widowControl w:val="0"/>
        <w:numPr>
          <w:ilvl w:val="0"/>
          <w:numId w:val="5"/>
        </w:numPr>
        <w:spacing w:line="360" w:lineRule="auto"/>
        <w:ind w:left="720" w:hanging="360"/>
        <w:jc w:val="both"/>
        <w:rPr/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MINISTERIO DE EDUCACIÓN, CULTURA, CIENCIA Y TECNOLOGÍA (2019). Eliminando barreras para el aprendizaje y la participación en alumnos con trastorno del espectro autista (TEA). La Ed. Ministerio de educación, Cultura, Ciencia y Tecnología. CABA. ISNB 978-987-47076-8-0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numPr>
          <w:ilvl w:val="0"/>
          <w:numId w:val="5"/>
        </w:numPr>
        <w:spacing w:after="240" w:lineRule="auto"/>
        <w:ind w:left="720" w:hanging="360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NARODOWSKI, M. (2008). La inclusión educativa. Reflexiones y propuestas entre las teorías, las demandas y los slogans. REICE, Revista Electrónica Iberoamericana sobre Calidad, Eficacia y Cambio en Educación, 6(2), 19-26.</w:t>
      </w:r>
    </w:p>
    <w:p w:rsidR="00000000" w:rsidDel="00000000" w:rsidP="00000000" w:rsidRDefault="00000000" w:rsidRPr="00000000" w14:paraId="00000057">
      <w:pPr>
        <w:numPr>
          <w:ilvl w:val="0"/>
          <w:numId w:val="5"/>
        </w:numPr>
        <w:spacing w:after="240" w:lineRule="auto"/>
        <w:ind w:left="720" w:hanging="360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TERIGI, F. (2009). El fracaso escolar desde la perspectiva psicoeducativa: hacia una reconceptualización situacional. Revista Iberoamericana de Educación. N° 50, pp. 23-39. /13/</w:t>
      </w:r>
    </w:p>
    <w:p w:rsidR="00000000" w:rsidDel="00000000" w:rsidP="00000000" w:rsidRDefault="00000000" w:rsidRPr="00000000" w14:paraId="00000058">
      <w:pPr>
        <w:numPr>
          <w:ilvl w:val="0"/>
          <w:numId w:val="5"/>
        </w:numPr>
        <w:spacing w:after="240" w:lineRule="auto"/>
        <w:ind w:left="720" w:hanging="360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VALDEZ, D. (2017). Cap. 6. Educación inclusiva. En J. A. Seda, La convención sobre los derechos de las personas con discapacidad (pp. 83-96). Buenos Aires: Eudeba.</w:t>
      </w:r>
    </w:p>
    <w:p w:rsidR="00000000" w:rsidDel="00000000" w:rsidP="00000000" w:rsidRDefault="00000000" w:rsidRPr="00000000" w14:paraId="00000059">
      <w:pPr>
        <w:spacing w:after="240" w:lineRule="auto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Bibliografía Complementaria:</w:t>
      </w:r>
    </w:p>
    <w:p w:rsidR="00000000" w:rsidDel="00000000" w:rsidP="00000000" w:rsidRDefault="00000000" w:rsidRPr="00000000" w14:paraId="0000005A">
      <w:pPr>
        <w:numPr>
          <w:ilvl w:val="0"/>
          <w:numId w:val="6"/>
        </w:numPr>
        <w:spacing w:after="240" w:lineRule="auto"/>
        <w:ind w:left="720" w:hanging="360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DUSSEL I., SOUTHWELL Y OTROS. La autoridad en cuestión. En AAVV DOSSIER Monitor, Sumario N°20. Pp.25-40</w:t>
      </w:r>
    </w:p>
    <w:p w:rsidR="00000000" w:rsidDel="00000000" w:rsidP="00000000" w:rsidRDefault="00000000" w:rsidRPr="00000000" w14:paraId="0000005B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0d0d0d" w:val="clear"/>
        <w:spacing w:after="240" w:lineRule="auto"/>
        <w:jc w:val="both"/>
        <w:rPr>
          <w:rFonts w:ascii="Arial" w:cs="Arial" w:eastAsia="Arial" w:hAnsi="Arial"/>
          <w:b w:val="0"/>
          <w:bCs w:val="0"/>
          <w:color w:val="ffffff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ffffff"/>
          <w:vertAlign w:val="baseline"/>
          <w:rtl w:val="0"/>
        </w:rPr>
        <w:t xml:space="preserve">4. EVALUACIÓN – ACREDITACIÓN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0" w:line="240" w:lineRule="auto"/>
        <w:ind w:left="0" w:righ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La evaluación está diseñada como una parte del proceso de enseñanza y aprendizaje. Permite introducir durante los mismos, transformaciones que puedan ser necesarias para alcanzar los objetivos previstos. Por otra parte, posibilita al estudiantado reflexionar sobre los aprendizajes realizados, conociendo a través del intercambio con el docente aquellos contenidos que deberán afianzarse.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0" w:line="240" w:lineRule="auto"/>
        <w:ind w:left="0" w:righ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Los criterios tenidos en cuenta en el proceso de aprendizaje a la hora de evaluar: Responsabilidad; Compromiso activo en el proceso de aprendizaje; Voluntad de superación de las dificultades; Capacidad de trabajo conjunto para el logro de objetivos compartidos; Capacidad de análisis, reflexión y crítica.; Conocimiento de los contenidos y pertinencia en la terminología utilizada; Presentación en tiempo y forma de las producciones solicitadas; Coherencia y cohesión del lenguaje oral y escrito; Adecuación a las consignas, y; Capacidad creativa, originalidad.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0" w:line="240" w:lineRule="auto"/>
        <w:ind w:left="0" w:right="0" w:firstLine="0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En cuanto al proceso de enseñanza, se plantean indagación y análisis respecto de: lo realizado y lo planificado. Reflexión sobre el grado de concreción de los objetivos planteados en la propuesta. En la 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misma, se tendrá en cuenta la congruencia entre lo programado para el desarrollo de la cursada y las intervenciones de la docente como guía y motivadora en el proceso. Es importante el registro de los recursos, estrategias y metodologías utilizadas (tiempos, espacios, tipos de agrupaciones utilizadas, instrumentos de evaluación, dinámicas áulicas, entre otros), y el efecto en los procesos de aprendizaje</w:t>
      </w:r>
    </w:p>
    <w:p w:rsidR="00000000" w:rsidDel="00000000" w:rsidP="00000000" w:rsidRDefault="00000000" w:rsidRPr="00000000" w14:paraId="0000005F">
      <w:pPr>
        <w:spacing w:after="240" w:lineRule="auto"/>
        <w:jc w:val="both"/>
        <w:rPr>
          <w:rFonts w:ascii="Arial" w:cs="Arial" w:eastAsia="Arial" w:hAnsi="Arial"/>
          <w:b w:val="0"/>
          <w:bCs w:val="0"/>
          <w:u w:val="singl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u w:val="single"/>
          <w:vertAlign w:val="baseline"/>
          <w:rtl w:val="0"/>
        </w:rPr>
        <w:t xml:space="preserve">ACREDITACIÓN (CONDICIONES ALUMNO/A REGULAR Y LIBRE)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numPr>
          <w:ilvl w:val="0"/>
          <w:numId w:val="6"/>
        </w:numPr>
        <w:spacing w:after="240" w:lineRule="auto"/>
        <w:ind w:left="720" w:hanging="360"/>
        <w:jc w:val="both"/>
        <w:rPr>
          <w:rFonts w:ascii="Arial" w:cs="Arial" w:eastAsia="Arial" w:hAnsi="Arial"/>
          <w:b w:val="0"/>
          <w:bCs w:val="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0"/>
        </w:rPr>
        <w:t xml:space="preserve">ALUMNOS/AS REGULARES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after="240" w:lineRule="auto"/>
        <w:jc w:val="both"/>
        <w:rPr>
          <w:rFonts w:ascii="Arial" w:cs="Arial" w:eastAsia="Arial" w:hAnsi="Arial"/>
          <w:u w:val="single"/>
          <w:vertAlign w:val="baseline"/>
        </w:rPr>
      </w:pPr>
      <w:r w:rsidDel="00000000" w:rsidR="00000000" w:rsidRPr="00000000">
        <w:rPr>
          <w:rFonts w:ascii="Arial" w:cs="Arial" w:eastAsia="Arial" w:hAnsi="Arial"/>
          <w:u w:val="single"/>
          <w:vertAlign w:val="baseline"/>
          <w:rtl w:val="0"/>
        </w:rPr>
        <w:t xml:space="preserve">Aprobación con examen final:</w:t>
      </w:r>
    </w:p>
    <w:p w:rsidR="00000000" w:rsidDel="00000000" w:rsidP="00000000" w:rsidRDefault="00000000" w:rsidRPr="00000000" w14:paraId="00000062">
      <w:pPr>
        <w:spacing w:after="0" w:lineRule="auto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Aprobar dos parciales con una nota de 4 a 6 puntos o sus correspondientes recuperatorios.</w:t>
      </w:r>
    </w:p>
    <w:p w:rsidR="00000000" w:rsidDel="00000000" w:rsidP="00000000" w:rsidRDefault="00000000" w:rsidRPr="00000000" w14:paraId="00000063">
      <w:pPr>
        <w:spacing w:after="0" w:lineRule="auto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Aprobar trabajos prácticos con una nota de 4 puntos o sus correspondientes recuperatorios.</w:t>
      </w:r>
    </w:p>
    <w:p w:rsidR="00000000" w:rsidDel="00000000" w:rsidP="00000000" w:rsidRDefault="00000000" w:rsidRPr="00000000" w14:paraId="00000064">
      <w:pPr>
        <w:spacing w:after="0" w:lineRule="auto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Cumplir con el 60 al 79% de asistencia.</w:t>
      </w:r>
    </w:p>
    <w:p w:rsidR="00000000" w:rsidDel="00000000" w:rsidP="00000000" w:rsidRDefault="00000000" w:rsidRPr="00000000" w14:paraId="00000065">
      <w:pPr>
        <w:spacing w:after="240" w:lineRule="auto"/>
        <w:jc w:val="both"/>
        <w:rPr>
          <w:rFonts w:ascii="Arial" w:cs="Arial" w:eastAsia="Arial" w:hAnsi="Arial"/>
          <w:u w:val="single"/>
          <w:vertAlign w:val="baseline"/>
        </w:rPr>
      </w:pPr>
      <w:r w:rsidDel="00000000" w:rsidR="00000000" w:rsidRPr="00000000">
        <w:rPr>
          <w:rFonts w:ascii="Arial" w:cs="Arial" w:eastAsia="Arial" w:hAnsi="Arial"/>
          <w:u w:val="single"/>
          <w:vertAlign w:val="baseline"/>
          <w:rtl w:val="0"/>
        </w:rPr>
        <w:t xml:space="preserve">Promoción sin examen final: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Aprobar dos parciales con una nota de 7 o más.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Aprobar los trabajos prácticos con una nota de 7 o más. 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Cumplir con un mínimo de 80% de asistencia.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En cas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o de que la nota de parcial o trabajo práctico sea entre 4 a 6 puntos, se podrá solicitar rendir la instancia recuperatoria, aspirando a promocionar. En la medida de efectuarse, la nota del recuperatorio ANULA la del trabajo práctico o parcial de la primera instancia (independientemente de cuál haya sido allí la nota).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Condiciones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para la desaprobación: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Obtener una nota de 1 a 3 en cualquiera de las instancias de recuperatorio de parciales o trabajos </w:t>
      </w:r>
      <w:r w:rsidDel="00000000" w:rsidR="00000000" w:rsidRPr="00000000">
        <w:rPr>
          <w:rFonts w:ascii="Arial" w:cs="Arial" w:eastAsia="Arial" w:hAnsi="Arial"/>
          <w:rtl w:val="0"/>
        </w:rPr>
        <w:t xml:space="preserve">prácticos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6C">
      <w:pPr>
        <w:spacing w:after="240" w:lineRule="auto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Aquellos/as que desaprueben la asignatura, deberán recursar o rendir examen libre.</w:t>
      </w:r>
    </w:p>
    <w:p w:rsidR="00000000" w:rsidDel="00000000" w:rsidP="00000000" w:rsidRDefault="00000000" w:rsidRPr="00000000" w14:paraId="0000006D">
      <w:pPr>
        <w:numPr>
          <w:ilvl w:val="0"/>
          <w:numId w:val="6"/>
        </w:numPr>
        <w:spacing w:after="240" w:lineRule="auto"/>
        <w:ind w:left="720" w:hanging="360"/>
        <w:jc w:val="both"/>
        <w:rPr>
          <w:rFonts w:ascii="Arial" w:cs="Arial" w:eastAsia="Arial" w:hAnsi="Arial"/>
          <w:b w:val="0"/>
          <w:bCs w:val="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0"/>
        </w:rPr>
        <w:t xml:space="preserve">ALUMNOS/AS EN CONSICIÒN DE LIBRES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tabs>
          <w:tab w:val="left" w:leader="none" w:pos="5253"/>
        </w:tabs>
        <w:spacing w:after="240" w:lineRule="auto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Examen Libre:</w:t>
        <w:tab/>
      </w:r>
    </w:p>
    <w:p w:rsidR="00000000" w:rsidDel="00000000" w:rsidP="00000000" w:rsidRDefault="00000000" w:rsidRPr="00000000" w14:paraId="0000006F">
      <w:pPr>
        <w:spacing w:after="240" w:lineRule="auto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Deberá ponerse previamente en contacto con el docente vía mail para acordar encuentros personalizados a fin de orientar la bibliografía y las temáticas de cada eje del programa. Rendirá el mismo día en las fechas finales un examen escrito a desarrollar y un examen oral ante comisión evaluadora; deberán aprobar cada uno de ellos. Ambos incluyen todos los contenidos de la asignatura.</w:t>
      </w:r>
    </w:p>
    <w:p w:rsidR="00000000" w:rsidDel="00000000" w:rsidP="00000000" w:rsidRDefault="00000000" w:rsidRPr="00000000" w14:paraId="00000070">
      <w:pPr>
        <w:numPr>
          <w:ilvl w:val="0"/>
          <w:numId w:val="6"/>
        </w:numPr>
        <w:spacing w:after="240" w:lineRule="auto"/>
        <w:ind w:left="720" w:hanging="360"/>
        <w:jc w:val="both"/>
        <w:rPr>
          <w:rFonts w:ascii="Arial" w:cs="Arial" w:eastAsia="Arial" w:hAnsi="Arial"/>
          <w:b w:val="0"/>
          <w:bCs w:val="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0"/>
        </w:rPr>
        <w:t xml:space="preserve">EXAMEN FINAL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after="240" w:lineRule="auto"/>
        <w:jc w:val="both"/>
        <w:rPr>
          <w:rFonts w:ascii="Arial" w:cs="Arial" w:eastAsia="Arial" w:hAnsi="Arial"/>
          <w:vertAlign w:val="baseline"/>
        </w:rPr>
      </w:pPr>
      <w:bookmarkStart w:colFirst="0" w:colLast="0" w:name="_heading=h.30j0zll" w:id="1"/>
      <w:bookmarkEnd w:id="1"/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El examen final es individual, oral e implica todas las temáticas vistas a lo largo de la cursada. La nota mínima de aprobación es de 4 (cuatro).</w:t>
      </w:r>
    </w:p>
    <w:p w:rsidR="00000000" w:rsidDel="00000000" w:rsidP="00000000" w:rsidRDefault="00000000" w:rsidRPr="00000000" w14:paraId="00000072">
      <w:pPr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8" w:type="default"/>
      <w:pgSz w:h="16837" w:w="11905" w:orient="portrait"/>
      <w:pgMar w:bottom="1418" w:top="1418" w:left="1418" w:right="1418" w:header="720" w:footer="11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omic Sans MS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omic Sans MS" w:cs="Comic Sans MS" w:eastAsia="Comic Sans MS" w:hAnsi="Comic Sans MS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ab/>
      <w:t xml:space="preserve"> 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Título1">
    <w:name w:val="Título 1"/>
    <w:basedOn w:val="Normal"/>
    <w:next w:val="Normal"/>
    <w:autoRedefine w:val="0"/>
    <w:hidden w:val="0"/>
    <w:qFormat w:val="0"/>
    <w:pPr>
      <w:keepNext w:val="1"/>
      <w:suppressAutoHyphens w:val="0"/>
      <w:spacing w:after="6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ptos Display" w:cs="Times New Roman" w:eastAsia="Times New Roman" w:hAnsi="Aptos Display"/>
      <w:b w:val="1"/>
      <w:bCs w:val="1"/>
      <w:w w:val="100"/>
      <w:kern w:val="32"/>
      <w:position w:val="-1"/>
      <w:sz w:val="32"/>
      <w:szCs w:val="32"/>
      <w:effect w:val="none"/>
      <w:vertAlign w:val="baseline"/>
      <w:cs w:val="0"/>
      <w:em w:val="none"/>
      <w:lang w:bidi="ar-SA" w:eastAsia="ar-SA" w:val="es-ES"/>
    </w:rPr>
  </w:style>
  <w:style w:type="paragraph" w:styleId="Título2">
    <w:name w:val="Título 2"/>
    <w:basedOn w:val="Normal"/>
    <w:next w:val="Normal"/>
    <w:autoRedefine w:val="0"/>
    <w:hidden w:val="0"/>
    <w:qFormat w:val="0"/>
    <w:pPr>
      <w:keepNext w:val="1"/>
      <w:numPr>
        <w:ilvl w:val="1"/>
        <w:numId w:val="1"/>
      </w:numPr>
      <w:suppressAutoHyphens w:val="0"/>
      <w:spacing w:line="1" w:lineRule="atLeast"/>
      <w:ind w:leftChars="-1" w:rightChars="0" w:firstLineChars="-1"/>
      <w:textDirection w:val="btLr"/>
      <w:textAlignment w:val="top"/>
      <w:outlineLvl w:val="1"/>
    </w:pPr>
    <w:rPr>
      <w:w w:val="100"/>
      <w:position w:val="-1"/>
      <w:sz w:val="24"/>
      <w:effect w:val="none"/>
      <w:vertAlign w:val="baseline"/>
      <w:cs w:val="0"/>
      <w:em w:val="none"/>
      <w:lang w:bidi="ar-SA" w:eastAsia="ar-SA" w:val="es-MX"/>
    </w:rPr>
  </w:style>
  <w:style w:type="paragraph" w:styleId="Título3">
    <w:name w:val="Título 3"/>
    <w:basedOn w:val="Normal"/>
    <w:next w:val="Normal"/>
    <w:autoRedefine w:val="0"/>
    <w:hidden w:val="0"/>
    <w:qFormat w:val="0"/>
    <w:pPr>
      <w:keepNext w:val="1"/>
      <w:numPr>
        <w:ilvl w:val="2"/>
        <w:numId w:val="1"/>
      </w:numPr>
      <w:suppressAutoHyphens w:val="0"/>
      <w:spacing w:line="1" w:lineRule="atLeast"/>
      <w:ind w:leftChars="-1" w:rightChars="0" w:firstLineChars="-1"/>
      <w:textDirection w:val="btLr"/>
      <w:textAlignment w:val="top"/>
      <w:outlineLvl w:val="2"/>
    </w:pPr>
    <w:rPr>
      <w:rFonts w:ascii="Arial" w:eastAsia="Arial Unicode MS" w:hAnsi="Arial"/>
      <w:w w:val="100"/>
      <w:position w:val="-1"/>
      <w:effect w:val="none"/>
      <w:vertAlign w:val="baseline"/>
      <w:cs w:val="0"/>
      <w:em w:val="none"/>
      <w:lang w:bidi="ar-SA" w:eastAsia="ar-SA" w:val="es-ES"/>
    </w:rPr>
  </w:style>
  <w:style w:type="paragraph" w:styleId="Título4">
    <w:name w:val="Título 4"/>
    <w:basedOn w:val="Normal"/>
    <w:next w:val="Normal"/>
    <w:autoRedefine w:val="0"/>
    <w:hidden w:val="0"/>
    <w:qFormat w:val="0"/>
    <w:pPr>
      <w:keepNext w:val="1"/>
      <w:shd w:color="auto" w:fill="e6e6e6" w:val="clear"/>
      <w:suppressAutoHyphens w:val="1"/>
      <w:spacing w:after="227" w:before="227" w:line="1" w:lineRule="atLeast"/>
      <w:ind w:leftChars="-1" w:rightChars="0" w:firstLineChars="-1"/>
      <w:textDirection w:val="btLr"/>
      <w:textAlignment w:val="top"/>
      <w:outlineLvl w:val="3"/>
    </w:pPr>
    <w:rPr>
      <w:b w:val="1"/>
      <w:bCs w:val="1"/>
      <w:color w:val="00000a"/>
      <w:w w:val="100"/>
      <w:position w:val="-1"/>
      <w:sz w:val="30"/>
      <w:szCs w:val="24"/>
      <w:effect w:val="none"/>
      <w:vertAlign w:val="baseline"/>
      <w:cs w:val="0"/>
      <w:em w:val="none"/>
      <w:lang w:bidi="hi-IN" w:eastAsia="zh-CN" w:val="es-ES"/>
    </w:rPr>
  </w:style>
  <w:style w:type="character" w:styleId="Fuentedepárrafopredeter.">
    <w:name w:val="Fuente de párrafo predeter."/>
    <w:next w:val="Fuentedepárrafopredeter.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anormal">
    <w:name w:val="Tabla normal"/>
    <w:next w:val="Tabla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anormal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>
    <w:name w:val="Sin lista"/>
    <w:next w:val="Sinlist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WW8Num1z0">
    <w:name w:val="WW8Num1z0"/>
    <w:next w:val="WW8Num1z0"/>
    <w:autoRedefine w:val="0"/>
    <w:hidden w:val="0"/>
    <w:qFormat w:val="0"/>
    <w:rPr>
      <w:rFonts w:ascii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z0">
    <w:name w:val="WW8Num2z0"/>
    <w:next w:val="WW8Num2z0"/>
    <w:autoRedefine w:val="0"/>
    <w:hidden w:val="0"/>
    <w:qFormat w:val="0"/>
    <w:rPr>
      <w:rFonts w:ascii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z1">
    <w:name w:val="WW8Num2z1"/>
    <w:next w:val="WW8Num2z1"/>
    <w:autoRedefine w:val="0"/>
    <w:hidden w:val="0"/>
    <w:qFormat w:val="0"/>
    <w:rPr>
      <w:rFonts w:ascii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z3">
    <w:name w:val="WW8Num2z3"/>
    <w:next w:val="WW8Num2z3"/>
    <w:autoRedefine w:val="0"/>
    <w:hidden w:val="0"/>
    <w:qFormat w:val="0"/>
    <w:rPr>
      <w:rFonts w:ascii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4z0">
    <w:name w:val="WW8Num4z0"/>
    <w:next w:val="WW8Num4z0"/>
    <w:autoRedefine w:val="0"/>
    <w:hidden w:val="0"/>
    <w:qFormat w:val="0"/>
    <w:rPr>
      <w:rFonts w:ascii="Wingdings" w:hAnsi="Wingdings"/>
      <w:w w:val="100"/>
      <w:position w:val="-1"/>
      <w:sz w:val="24"/>
      <w:effect w:val="none"/>
      <w:vertAlign w:val="baseline"/>
      <w:cs w:val="0"/>
      <w:em w:val="none"/>
      <w:lang/>
    </w:rPr>
  </w:style>
  <w:style w:type="character" w:styleId="WW8Num5z0">
    <w:name w:val="WW8Num5z0"/>
    <w:next w:val="WW8Num5z0"/>
    <w:autoRedefine w:val="0"/>
    <w:hidden w:val="0"/>
    <w:qFormat w:val="0"/>
    <w:rPr>
      <w:b w:val="0"/>
      <w:w w:val="100"/>
      <w:position w:val="-1"/>
      <w:effect w:val="none"/>
      <w:vertAlign w:val="baseline"/>
      <w:cs w:val="0"/>
      <w:em w:val="none"/>
      <w:lang/>
    </w:rPr>
  </w:style>
  <w:style w:type="character" w:styleId="WW8Num6z0">
    <w:name w:val="WW8Num6z0"/>
    <w:next w:val="WW8Num6z0"/>
    <w:autoRedefine w:val="0"/>
    <w:hidden w:val="0"/>
    <w:qFormat w:val="0"/>
    <w:rPr>
      <w:rFonts w:ascii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7z0">
    <w:name w:val="WW8Num7z0"/>
    <w:next w:val="WW8Num7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9z0">
    <w:name w:val="WW8Num9z0"/>
    <w:next w:val="WW8Num9z0"/>
    <w:autoRedefine w:val="0"/>
    <w:hidden w:val="0"/>
    <w:qFormat w:val="0"/>
    <w:rPr>
      <w:rFonts w:ascii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0z0">
    <w:name w:val="WW8Num10z0"/>
    <w:next w:val="WW8Num10z0"/>
    <w:autoRedefine w:val="0"/>
    <w:hidden w:val="0"/>
    <w:qFormat w:val="0"/>
    <w:rPr>
      <w:rFonts w:ascii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1z0">
    <w:name w:val="WW8Num11z0"/>
    <w:next w:val="WW8Num11z0"/>
    <w:autoRedefine w:val="0"/>
    <w:hidden w:val="0"/>
    <w:qFormat w:val="0"/>
    <w:rPr>
      <w:rFonts w:ascii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1z1">
    <w:name w:val="WW8Num11z1"/>
    <w:next w:val="WW8Num11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1z2">
    <w:name w:val="WW8Num11z2"/>
    <w:next w:val="WW8Num11z2"/>
    <w:autoRedefine w:val="0"/>
    <w:hidden w:val="0"/>
    <w:qFormat w:val="0"/>
    <w:rPr>
      <w:rFonts w:ascii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3z0">
    <w:name w:val="WW8Num13z0"/>
    <w:next w:val="WW8Num13z0"/>
    <w:autoRedefine w:val="0"/>
    <w:hidden w:val="0"/>
    <w:qFormat w:val="0"/>
    <w:rPr>
      <w:rFonts w:ascii="Wingdings" w:hAnsi="Wingdings"/>
      <w:w w:val="100"/>
      <w:position w:val="-1"/>
      <w:sz w:val="24"/>
      <w:effect w:val="none"/>
      <w:vertAlign w:val="baseline"/>
      <w:cs w:val="0"/>
      <w:em w:val="none"/>
      <w:lang/>
    </w:rPr>
  </w:style>
  <w:style w:type="character" w:styleId="WW8Num14z0">
    <w:name w:val="WW8Num14z0"/>
    <w:next w:val="WW8Num14z0"/>
    <w:autoRedefine w:val="0"/>
    <w:hidden w:val="0"/>
    <w:qFormat w:val="0"/>
    <w:rPr>
      <w:rFonts w:ascii="Comic Sans MS" w:hAnsi="Comic Sans MS"/>
      <w:w w:val="100"/>
      <w:position w:val="-1"/>
      <w:effect w:val="none"/>
      <w:vertAlign w:val="baseline"/>
      <w:cs w:val="0"/>
      <w:em w:val="none"/>
      <w:lang/>
    </w:rPr>
  </w:style>
  <w:style w:type="character" w:styleId="WW8Num15z0">
    <w:name w:val="WW8Num15z0"/>
    <w:next w:val="WW8Num15z0"/>
    <w:autoRedefine w:val="0"/>
    <w:hidden w:val="0"/>
    <w:qFormat w:val="0"/>
    <w:rPr>
      <w:rFonts w:ascii="Wingdings" w:hAnsi="Wingdings"/>
      <w:w w:val="100"/>
      <w:position w:val="-1"/>
      <w:sz w:val="24"/>
      <w:effect w:val="none"/>
      <w:vertAlign w:val="baseline"/>
      <w:cs w:val="0"/>
      <w:em w:val="none"/>
      <w:lang/>
    </w:rPr>
  </w:style>
  <w:style w:type="character" w:styleId="WW8Num17z0">
    <w:name w:val="WW8Num17z0"/>
    <w:next w:val="WW8Num17z0"/>
    <w:autoRedefine w:val="0"/>
    <w:hidden w:val="0"/>
    <w:qFormat w:val="0"/>
    <w:rPr>
      <w:rFonts w:ascii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7z1">
    <w:name w:val="WW8Num17z1"/>
    <w:next w:val="WW8Num17z1"/>
    <w:autoRedefine w:val="0"/>
    <w:hidden w:val="0"/>
    <w:qFormat w:val="0"/>
    <w:rPr>
      <w:rFonts w:ascii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7z4">
    <w:name w:val="WW8Num17z4"/>
    <w:next w:val="WW8Num17z4"/>
    <w:autoRedefine w:val="0"/>
    <w:hidden w:val="0"/>
    <w:qFormat w:val="0"/>
    <w:rPr>
      <w:rFonts w:ascii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8z0">
    <w:name w:val="WW8Num18z0"/>
    <w:next w:val="WW8Num18z0"/>
    <w:autoRedefine w:val="0"/>
    <w:hidden w:val="0"/>
    <w:qFormat w:val="0"/>
    <w:rPr>
      <w:rFonts w:ascii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9z0">
    <w:name w:val="WW8Num19z0"/>
    <w:next w:val="WW8Num19z0"/>
    <w:autoRedefine w:val="0"/>
    <w:hidden w:val="0"/>
    <w:qFormat w:val="0"/>
    <w:rPr>
      <w:rFonts w:ascii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9z1">
    <w:name w:val="WW8Num19z1"/>
    <w:next w:val="WW8Num19z1"/>
    <w:autoRedefine w:val="0"/>
    <w:hidden w:val="0"/>
    <w:qFormat w:val="0"/>
    <w:rPr>
      <w:rFonts w:ascii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9z3">
    <w:name w:val="WW8Num19z3"/>
    <w:next w:val="WW8Num19z3"/>
    <w:autoRedefine w:val="0"/>
    <w:hidden w:val="0"/>
    <w:qFormat w:val="0"/>
    <w:rPr>
      <w:rFonts w:ascii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1z0">
    <w:name w:val="WW8Num21z0"/>
    <w:next w:val="WW8Num21z0"/>
    <w:autoRedefine w:val="0"/>
    <w:hidden w:val="0"/>
    <w:qFormat w:val="0"/>
    <w:rPr>
      <w:rFonts w:ascii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1z1">
    <w:name w:val="WW8Num21z1"/>
    <w:next w:val="WW8Num21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1z3">
    <w:name w:val="WW8Num21z3"/>
    <w:next w:val="WW8Num21z3"/>
    <w:autoRedefine w:val="0"/>
    <w:hidden w:val="0"/>
    <w:qFormat w:val="0"/>
    <w:rPr>
      <w:rFonts w:ascii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2z0">
    <w:name w:val="WW8Num22z0"/>
    <w:next w:val="WW8Num22z0"/>
    <w:autoRedefine w:val="0"/>
    <w:hidden w:val="0"/>
    <w:qFormat w:val="0"/>
    <w:rPr>
      <w:rFonts w:ascii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3z0">
    <w:name w:val="WW8Num23z0"/>
    <w:next w:val="WW8Num23z0"/>
    <w:autoRedefine w:val="0"/>
    <w:hidden w:val="0"/>
    <w:qFormat w:val="0"/>
    <w:rPr>
      <w:rFonts w:ascii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4z0">
    <w:name w:val="WW8Num24z0"/>
    <w:next w:val="WW8Num24z0"/>
    <w:autoRedefine w:val="0"/>
    <w:hidden w:val="0"/>
    <w:qFormat w:val="0"/>
    <w:rPr>
      <w:rFonts w:ascii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5z0">
    <w:name w:val="WW8Num25z0"/>
    <w:next w:val="WW8Num25z0"/>
    <w:autoRedefine w:val="0"/>
    <w:hidden w:val="0"/>
    <w:qFormat w:val="0"/>
    <w:rPr>
      <w:rFonts w:ascii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5z1">
    <w:name w:val="WW8Num25z1"/>
    <w:next w:val="WW8Num25z1"/>
    <w:autoRedefine w:val="0"/>
    <w:hidden w:val="0"/>
    <w:qFormat w:val="0"/>
    <w:rPr>
      <w:rFonts w:ascii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5z3">
    <w:name w:val="WW8Num25z3"/>
    <w:next w:val="WW8Num25z3"/>
    <w:autoRedefine w:val="0"/>
    <w:hidden w:val="0"/>
    <w:qFormat w:val="0"/>
    <w:rPr>
      <w:rFonts w:ascii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6z0">
    <w:name w:val="WW8Num26z0"/>
    <w:next w:val="WW8Num26z0"/>
    <w:autoRedefine w:val="0"/>
    <w:hidden w:val="0"/>
    <w:qFormat w:val="0"/>
    <w:rPr>
      <w:rFonts w:ascii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7z0">
    <w:name w:val="WW8Num27z0"/>
    <w:next w:val="WW8Num27z0"/>
    <w:autoRedefine w:val="0"/>
    <w:hidden w:val="0"/>
    <w:qFormat w:val="0"/>
    <w:rPr>
      <w:rFonts w:ascii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7z1">
    <w:name w:val="WW8Num27z1"/>
    <w:next w:val="WW8Num27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7z2">
    <w:name w:val="WW8Num27z2"/>
    <w:next w:val="WW8Num27z2"/>
    <w:autoRedefine w:val="0"/>
    <w:hidden w:val="0"/>
    <w:qFormat w:val="0"/>
    <w:rPr>
      <w:rFonts w:ascii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9z0">
    <w:name w:val="WW8Num29z0"/>
    <w:next w:val="WW8Num29z0"/>
    <w:autoRedefine w:val="0"/>
    <w:hidden w:val="0"/>
    <w:qFormat w:val="0"/>
    <w:rPr>
      <w:rFonts w:ascii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9z1">
    <w:name w:val="WW8Num29z1"/>
    <w:next w:val="WW8Num29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9z2">
    <w:name w:val="WW8Num29z2"/>
    <w:next w:val="WW8Num29z2"/>
    <w:autoRedefine w:val="0"/>
    <w:hidden w:val="0"/>
    <w:qFormat w:val="0"/>
    <w:rPr>
      <w:rFonts w:ascii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0z0">
    <w:name w:val="WW8Num30z0"/>
    <w:next w:val="WW8Num30z0"/>
    <w:autoRedefine w:val="0"/>
    <w:hidden w:val="0"/>
    <w:qFormat w:val="0"/>
    <w:rPr>
      <w:rFonts w:ascii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0z1">
    <w:name w:val="WW8Num30z1"/>
    <w:next w:val="WW8Num30z1"/>
    <w:autoRedefine w:val="0"/>
    <w:hidden w:val="0"/>
    <w:qFormat w:val="0"/>
    <w:rPr>
      <w:rFonts w:ascii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30z3">
    <w:name w:val="WW8Num30z3"/>
    <w:next w:val="WW8Num30z3"/>
    <w:autoRedefine w:val="0"/>
    <w:hidden w:val="0"/>
    <w:qFormat w:val="0"/>
    <w:rPr>
      <w:rFonts w:ascii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1z0">
    <w:name w:val="WW8Num31z0"/>
    <w:next w:val="WW8Num31z0"/>
    <w:autoRedefine w:val="0"/>
    <w:hidden w:val="0"/>
    <w:qFormat w:val="0"/>
    <w:rPr>
      <w:rFonts w:ascii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2z0">
    <w:name w:val="WW8Num32z0"/>
    <w:next w:val="WW8Num32z0"/>
    <w:autoRedefine w:val="0"/>
    <w:hidden w:val="0"/>
    <w:qFormat w:val="0"/>
    <w:rPr>
      <w:rFonts w:ascii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2z1">
    <w:name w:val="WW8Num32z1"/>
    <w:next w:val="WW8Num32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32z2">
    <w:name w:val="WW8Num32z2"/>
    <w:next w:val="WW8Num32z2"/>
    <w:autoRedefine w:val="0"/>
    <w:hidden w:val="0"/>
    <w:qFormat w:val="0"/>
    <w:rPr>
      <w:rFonts w:ascii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3z0">
    <w:name w:val="WW8Num33z0"/>
    <w:next w:val="WW8Num33z0"/>
    <w:autoRedefine w:val="0"/>
    <w:hidden w:val="0"/>
    <w:qFormat w:val="0"/>
    <w:rPr>
      <w:rFonts w:ascii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34z0">
    <w:name w:val="WW8Num34z0"/>
    <w:next w:val="WW8Num34z0"/>
    <w:autoRedefine w:val="0"/>
    <w:hidden w:val="0"/>
    <w:qFormat w:val="0"/>
    <w:rPr>
      <w:rFonts w:ascii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4z1">
    <w:name w:val="WW8Num34z1"/>
    <w:next w:val="WW8Num34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35z0">
    <w:name w:val="WW8Num35z0"/>
    <w:next w:val="WW8Num35z0"/>
    <w:autoRedefine w:val="0"/>
    <w:hidden w:val="0"/>
    <w:qFormat w:val="0"/>
    <w:rPr>
      <w:rFonts w:ascii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5z1">
    <w:name w:val="WW8Num35z1"/>
    <w:next w:val="WW8Num35z1"/>
    <w:autoRedefine w:val="0"/>
    <w:hidden w:val="0"/>
    <w:qFormat w:val="0"/>
    <w:rPr>
      <w:rFonts w:ascii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35z3">
    <w:name w:val="WW8Num35z3"/>
    <w:next w:val="WW8Num35z3"/>
    <w:autoRedefine w:val="0"/>
    <w:hidden w:val="0"/>
    <w:qFormat w:val="0"/>
    <w:rPr>
      <w:rFonts w:ascii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6z0">
    <w:name w:val="WW8Num36z0"/>
    <w:next w:val="WW8Num36z0"/>
    <w:autoRedefine w:val="0"/>
    <w:hidden w:val="0"/>
    <w:qFormat w:val="0"/>
    <w:rPr>
      <w:rFonts w:ascii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6z1">
    <w:name w:val="WW8Num36z1"/>
    <w:next w:val="WW8Num36z1"/>
    <w:autoRedefine w:val="0"/>
    <w:hidden w:val="0"/>
    <w:qFormat w:val="0"/>
    <w:rPr>
      <w:rFonts w:ascii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36z3">
    <w:name w:val="WW8Num36z3"/>
    <w:next w:val="WW8Num36z3"/>
    <w:autoRedefine w:val="0"/>
    <w:hidden w:val="0"/>
    <w:qFormat w:val="0"/>
    <w:rPr>
      <w:rFonts w:ascii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7z0">
    <w:name w:val="WW8Num37z0"/>
    <w:next w:val="WW8Num37z0"/>
    <w:autoRedefine w:val="0"/>
    <w:hidden w:val="0"/>
    <w:qFormat w:val="0"/>
    <w:rPr>
      <w:rFonts w:ascii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7z1">
    <w:name w:val="WW8Num37z1"/>
    <w:next w:val="WW8Num37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37z2">
    <w:name w:val="WW8Num37z2"/>
    <w:next w:val="WW8Num37z2"/>
    <w:autoRedefine w:val="0"/>
    <w:hidden w:val="0"/>
    <w:qFormat w:val="0"/>
    <w:rPr>
      <w:rFonts w:ascii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8z0">
    <w:name w:val="WW8Num38z0"/>
    <w:next w:val="WW8Num38z0"/>
    <w:autoRedefine w:val="0"/>
    <w:hidden w:val="0"/>
    <w:qFormat w:val="0"/>
    <w:rPr>
      <w:rFonts w:ascii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8z1">
    <w:name w:val="WW8Num38z1"/>
    <w:next w:val="WW8Num38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38z2">
    <w:name w:val="WW8Num38z2"/>
    <w:next w:val="WW8Num38z2"/>
    <w:autoRedefine w:val="0"/>
    <w:hidden w:val="0"/>
    <w:qFormat w:val="0"/>
    <w:rPr>
      <w:rFonts w:ascii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9z0">
    <w:name w:val="WW8Num39z0"/>
    <w:next w:val="WW8Num39z0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40z0">
    <w:name w:val="WW8Num40z0"/>
    <w:next w:val="WW8Num40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41z0">
    <w:name w:val="WW8Num41z0"/>
    <w:next w:val="WW8Num41z0"/>
    <w:autoRedefine w:val="0"/>
    <w:hidden w:val="0"/>
    <w:qFormat w:val="0"/>
    <w:rPr>
      <w:rFonts w:ascii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42z0">
    <w:name w:val="WW8Num42z0"/>
    <w:next w:val="WW8Num42z0"/>
    <w:autoRedefine w:val="0"/>
    <w:hidden w:val="0"/>
    <w:qFormat w:val="0"/>
    <w:rPr>
      <w:rFonts w:ascii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43z0">
    <w:name w:val="WW8Num43z0"/>
    <w:next w:val="WW8Num43z0"/>
    <w:autoRedefine w:val="0"/>
    <w:hidden w:val="0"/>
    <w:qFormat w:val="0"/>
    <w:rPr>
      <w:rFonts w:ascii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44z0">
    <w:name w:val="WW8Num44z0"/>
    <w:next w:val="WW8Num44z0"/>
    <w:autoRedefine w:val="0"/>
    <w:hidden w:val="0"/>
    <w:qFormat w:val="0"/>
    <w:rPr>
      <w:rFonts w:ascii="Wingdings" w:hAnsi="Wingdings"/>
      <w:b w:val="0"/>
      <w:i w:val="0"/>
      <w:w w:val="100"/>
      <w:position w:val="-1"/>
      <w:sz w:val="24"/>
      <w:effect w:val="none"/>
      <w:vertAlign w:val="baseline"/>
      <w:cs w:val="0"/>
      <w:em w:val="none"/>
      <w:lang/>
    </w:rPr>
  </w:style>
  <w:style w:type="character" w:styleId="Fuentedepárrafopredeter.1">
    <w:name w:val="Fuente de párrafo predeter.1"/>
    <w:next w:val="Fuentedepárrafopredeter.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Númerodepágina">
    <w:name w:val="Número de página"/>
    <w:basedOn w:val="Fuentedepárrafopredeter.1"/>
    <w:next w:val="Númerodepágina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Hipervínculo">
    <w:name w:val="Hipervínculo"/>
    <w:next w:val="Hipervínculo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Símbolodenotaalpie">
    <w:name w:val="Símbolo de nota al pie"/>
    <w:next w:val="Símbolodenotaalpie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character" w:styleId="MáquinadeescribirHTML">
    <w:name w:val="Máquina de escribir HTML"/>
    <w:next w:val="MáquinadeescribirHTML"/>
    <w:autoRedefine w:val="0"/>
    <w:hidden w:val="0"/>
    <w:qFormat w:val="0"/>
    <w:rPr>
      <w:rFonts w:ascii="Courier New" w:cs="Courier New" w:eastAsia="Courier New" w:hAnsi="Courier New"/>
      <w:w w:val="100"/>
      <w:position w:val="-1"/>
      <w:sz w:val="20"/>
      <w:szCs w:val="20"/>
      <w:effect w:val="none"/>
      <w:vertAlign w:val="baseline"/>
      <w:cs w:val="0"/>
      <w:em w:val="none"/>
      <w:lang/>
    </w:rPr>
  </w:style>
  <w:style w:type="paragraph" w:styleId="Encabezado1">
    <w:name w:val="Encabezado1"/>
    <w:basedOn w:val="Normal"/>
    <w:next w:val="Textoindependiente"/>
    <w:autoRedefine w:val="0"/>
    <w:hidden w:val="0"/>
    <w:qFormat w:val="0"/>
    <w:pPr>
      <w:keepNext w:val="1"/>
      <w:suppressAutoHyphens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Helvetica" w:cs="Lucidasans" w:eastAsia="HG Mincho Light J" w:hAnsi="Helvetica"/>
      <w:w w:val="100"/>
      <w:position w:val="-1"/>
      <w:sz w:val="28"/>
      <w:szCs w:val="28"/>
      <w:effect w:val="none"/>
      <w:vertAlign w:val="baseline"/>
      <w:cs w:val="0"/>
      <w:em w:val="none"/>
      <w:lang w:bidi="ar-SA" w:eastAsia="ar-SA" w:val="es-ES"/>
    </w:rPr>
  </w:style>
  <w:style w:type="paragraph" w:styleId="Textoindependiente">
    <w:name w:val="Texto independiente"/>
    <w:basedOn w:val="Normal"/>
    <w:next w:val="Textoindependiente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effect w:val="none"/>
      <w:vertAlign w:val="baseline"/>
      <w:cs w:val="0"/>
      <w:em w:val="none"/>
      <w:lang w:bidi="ar-SA" w:eastAsia="ar-SA" w:val="es-ES"/>
    </w:rPr>
  </w:style>
  <w:style w:type="paragraph" w:styleId="Lista">
    <w:name w:val="Lista"/>
    <w:basedOn w:val="Textoindependiente"/>
    <w:next w:val="Lista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" w:cs="Lucidasans" w:hAnsi="Times"/>
      <w:w w:val="100"/>
      <w:position w:val="-1"/>
      <w:sz w:val="24"/>
      <w:effect w:val="none"/>
      <w:vertAlign w:val="baseline"/>
      <w:cs w:val="0"/>
      <w:em w:val="none"/>
      <w:lang w:bidi="ar-SA" w:eastAsia="ar-SA" w:val="es-ES"/>
    </w:rPr>
  </w:style>
  <w:style w:type="paragraph" w:styleId="Etiqueta">
    <w:name w:val="Etiqueta"/>
    <w:basedOn w:val="Normal"/>
    <w:next w:val="Etiqueta"/>
    <w:autoRedefine w:val="0"/>
    <w:hidden w:val="0"/>
    <w:qFormat w:val="0"/>
    <w:pPr>
      <w:suppressLineNumbers w:val="1"/>
      <w:suppressAutoHyphens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rFonts w:ascii="Times" w:cs="Lucidasans" w:hAnsi="Times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es-ES"/>
    </w:rPr>
  </w:style>
  <w:style w:type="paragraph" w:styleId="Índice">
    <w:name w:val="Índice"/>
    <w:basedOn w:val="Normal"/>
    <w:next w:val="Índice"/>
    <w:autoRedefine w:val="0"/>
    <w:hidden w:val="0"/>
    <w:qFormat w:val="0"/>
    <w:pPr>
      <w:suppressLineNumbers w:val="1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" w:cs="Lucidasans" w:hAnsi="Times"/>
      <w:w w:val="100"/>
      <w:position w:val="-1"/>
      <w:effect w:val="none"/>
      <w:vertAlign w:val="baseline"/>
      <w:cs w:val="0"/>
      <w:em w:val="none"/>
      <w:lang w:bidi="ar-SA" w:eastAsia="ar-SA" w:val="es-ES"/>
    </w:rPr>
  </w:style>
  <w:style w:type="paragraph" w:styleId="Sangríadetextonormal">
    <w:name w:val="Sangría de texto normal"/>
    <w:basedOn w:val="Normal"/>
    <w:next w:val="Sangríadetextonormal"/>
    <w:autoRedefine w:val="0"/>
    <w:hidden w:val="0"/>
    <w:qFormat w:val="0"/>
    <w:pPr>
      <w:suppressAutoHyphens w:val="0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b w:val="1"/>
      <w:w w:val="100"/>
      <w:position w:val="-1"/>
      <w:sz w:val="24"/>
      <w:effect w:val="none"/>
      <w:vertAlign w:val="baseline"/>
      <w:cs w:val="0"/>
      <w:em w:val="none"/>
      <w:lang w:bidi="ar-SA" w:eastAsia="ar-SA" w:val="es-MX"/>
    </w:rPr>
  </w:style>
  <w:style w:type="paragraph" w:styleId="Piedepágina">
    <w:name w:val="Pie de página"/>
    <w:basedOn w:val="Normal"/>
    <w:next w:val="Piedepágina"/>
    <w:autoRedefine w:val="0"/>
    <w:hidden w:val="0"/>
    <w:qFormat w:val="0"/>
    <w:pPr>
      <w:tabs>
        <w:tab w:val="center" w:leader="none" w:pos="4419"/>
        <w:tab w:val="right" w:leader="none" w:pos="8838"/>
      </w:tabs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ar-SA" w:val="es-ES"/>
    </w:rPr>
  </w:style>
  <w:style w:type="paragraph" w:styleId="Encabezado">
    <w:name w:val="Encabezado"/>
    <w:basedOn w:val="Normal"/>
    <w:next w:val="Encabezado"/>
    <w:autoRedefine w:val="0"/>
    <w:hidden w:val="0"/>
    <w:qFormat w:val="0"/>
    <w:pPr>
      <w:tabs>
        <w:tab w:val="center" w:leader="none" w:pos="4252"/>
        <w:tab w:val="right" w:leader="none" w:pos="8504"/>
      </w:tabs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Verdana" w:hAnsi="Verdana"/>
      <w:w w:val="100"/>
      <w:position w:val="-1"/>
      <w:sz w:val="24"/>
      <w:effect w:val="none"/>
      <w:vertAlign w:val="baseline"/>
      <w:cs w:val="0"/>
      <w:em w:val="none"/>
      <w:lang w:bidi="ar-SA" w:eastAsia="ar-SA" w:val="es-ES"/>
    </w:rPr>
  </w:style>
  <w:style w:type="paragraph" w:styleId="Epígrafe1">
    <w:name w:val="Epígrafe1"/>
    <w:basedOn w:val="Normal"/>
    <w:next w:val="Normal"/>
    <w:autoRedefine w:val="0"/>
    <w:hidden w:val="0"/>
    <w:qFormat w:val="0"/>
    <w:pPr>
      <w:suppressAutoHyphens w:val="0"/>
      <w:spacing w:line="1" w:lineRule="atLeast"/>
      <w:ind w:leftChars="-1" w:rightChars="0" w:firstLineChars="-1"/>
      <w:jc w:val="right"/>
      <w:textDirection w:val="btLr"/>
      <w:textAlignment w:val="top"/>
      <w:outlineLvl w:val="0"/>
    </w:pPr>
    <w:rPr>
      <w:b w:val="1"/>
      <w:w w:val="100"/>
      <w:position w:val="-1"/>
      <w:sz w:val="26"/>
      <w:effect w:val="none"/>
      <w:vertAlign w:val="baseline"/>
      <w:cs w:val="0"/>
      <w:em w:val="none"/>
      <w:lang w:bidi="ar-SA" w:eastAsia="ar-SA" w:val="es-ES"/>
    </w:rPr>
  </w:style>
  <w:style w:type="paragraph" w:styleId="Mapadeldocumento1">
    <w:name w:val="Mapa del documento1"/>
    <w:basedOn w:val="Normal"/>
    <w:next w:val="Mapadeldocumento1"/>
    <w:autoRedefine w:val="0"/>
    <w:hidden w:val="0"/>
    <w:qFormat w:val="0"/>
    <w:pPr>
      <w:shd w:color="auto" w:fill="000080" w:val="clear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effect w:val="none"/>
      <w:vertAlign w:val="baseline"/>
      <w:cs w:val="0"/>
      <w:em w:val="none"/>
      <w:lang w:bidi="ar-SA" w:eastAsia="ar-SA" w:val="es-ES"/>
    </w:rPr>
  </w:style>
  <w:style w:type="paragraph" w:styleId="Textodeglobo">
    <w:name w:val="Texto de globo"/>
    <w:basedOn w:val="Normal"/>
    <w:next w:val="Textodeglobo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ar-SA" w:val="es-ES"/>
    </w:rPr>
  </w:style>
  <w:style w:type="paragraph" w:styleId="PlainText">
    <w:name w:val="Plain Text"/>
    <w:basedOn w:val="Normal"/>
    <w:next w:val="PlainText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ourier New" w:hAnsi="Courier New"/>
      <w:w w:val="100"/>
      <w:position w:val="-1"/>
      <w:effect w:val="none"/>
      <w:vertAlign w:val="baseline"/>
      <w:cs w:val="0"/>
      <w:em w:val="none"/>
      <w:lang w:bidi="ar-SA" w:eastAsia="ar-SA" w:val="es-ES"/>
    </w:rPr>
  </w:style>
  <w:style w:type="paragraph" w:styleId="Textoindependiente21">
    <w:name w:val="Texto independiente 21"/>
    <w:basedOn w:val="Normal"/>
    <w:next w:val="Textoindependiente21"/>
    <w:autoRedefine w:val="0"/>
    <w:hidden w:val="0"/>
    <w:qFormat w:val="0"/>
    <w:pPr>
      <w:suppressAutoHyphens w:val="0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bCs w:val="1"/>
      <w:w w:val="100"/>
      <w:position w:val="-1"/>
      <w:sz w:val="24"/>
      <w:effect w:val="none"/>
      <w:vertAlign w:val="baseline"/>
      <w:cs w:val="0"/>
      <w:em w:val="none"/>
      <w:lang w:bidi="ar-SA" w:eastAsia="ar-SA" w:val="es-ES"/>
    </w:rPr>
  </w:style>
  <w:style w:type="paragraph" w:styleId="Textonotapie">
    <w:name w:val="Texto nota pie"/>
    <w:basedOn w:val="Normal"/>
    <w:next w:val="Textonotapie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ar-SA" w:val="es-AR"/>
    </w:rPr>
  </w:style>
  <w:style w:type="paragraph" w:styleId="BodyText2">
    <w:name w:val="Body Text 2"/>
    <w:basedOn w:val="Normal"/>
    <w:next w:val="BodyText2"/>
    <w:autoRedefine w:val="0"/>
    <w:hidden w:val="0"/>
    <w:qFormat w:val="0"/>
    <w:pPr>
      <w:suppressAutoHyphens w:val="0"/>
      <w:overflowPunct w:val="0"/>
      <w:autoSpaceDE w:val="0"/>
      <w:spacing w:line="1" w:lineRule="atLeast"/>
      <w:ind w:leftChars="-1" w:rightChars="0" w:firstLineChars="-1"/>
      <w:jc w:val="both"/>
      <w:textDirection w:val="btLr"/>
      <w:textAlignment w:val="baseline"/>
      <w:outlineLvl w:val="0"/>
    </w:pPr>
    <w:rPr>
      <w:rFonts w:ascii="AvantGarde Md BT" w:hAnsi="AvantGarde Md BT"/>
      <w:w w:val="100"/>
      <w:position w:val="-1"/>
      <w:sz w:val="24"/>
      <w:effect w:val="none"/>
      <w:vertAlign w:val="baseline"/>
      <w:cs w:val="0"/>
      <w:em w:val="none"/>
      <w:lang w:bidi="ar-SA" w:eastAsia="ar-SA" w:val="es-ES"/>
    </w:rPr>
  </w:style>
  <w:style w:type="paragraph" w:styleId="Sangría2det.independiente1">
    <w:name w:val="Sangría 2 de t. independiente1"/>
    <w:basedOn w:val="Normal"/>
    <w:next w:val="Sangría2det.independiente1"/>
    <w:autoRedefine w:val="0"/>
    <w:hidden w:val="0"/>
    <w:qFormat w:val="0"/>
    <w:pPr>
      <w:tabs>
        <w:tab w:val="left" w:leader="none" w:pos="-720"/>
      </w:tabs>
      <w:suppressAutoHyphens w:val="0"/>
      <w:spacing w:line="360" w:lineRule="auto"/>
      <w:ind w:left="360" w:right="0" w:leftChars="-1" w:rightChars="0" w:firstLine="0" w:firstLineChars="-1"/>
      <w:jc w:val="both"/>
      <w:textDirection w:val="btLr"/>
      <w:textAlignment w:val="top"/>
      <w:outlineLvl w:val="0"/>
    </w:pPr>
    <w:rPr>
      <w:rFonts w:ascii="Comic Sans MS" w:hAnsi="Comic Sans MS"/>
      <w:spacing w:val="-3"/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es-ES"/>
    </w:rPr>
  </w:style>
  <w:style w:type="paragraph" w:styleId="Textoindependiente31">
    <w:name w:val="Texto independiente 31"/>
    <w:basedOn w:val="Normal"/>
    <w:next w:val="Textoindependiente31"/>
    <w:autoRedefine w:val="0"/>
    <w:hidden w:val="0"/>
    <w:qFormat w:val="0"/>
    <w:pPr>
      <w:suppressAutoHyphens w:val="0"/>
      <w:spacing w:after="120" w:before="0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16"/>
      <w:szCs w:val="16"/>
      <w:effect w:val="none"/>
      <w:vertAlign w:val="baseline"/>
      <w:cs w:val="0"/>
      <w:em w:val="none"/>
      <w:lang w:bidi="ar-SA" w:eastAsia="ar-SA" w:val="es-ES"/>
    </w:rPr>
  </w:style>
  <w:style w:type="paragraph" w:styleId="Contenidodelatabla">
    <w:name w:val="Contenido de la tabla"/>
    <w:basedOn w:val="Normal"/>
    <w:next w:val="Contenidodelatabla"/>
    <w:autoRedefine w:val="0"/>
    <w:hidden w:val="0"/>
    <w:qFormat w:val="0"/>
    <w:pPr>
      <w:suppressLineNumbers w:val="1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ar-SA" w:val="es-ES"/>
    </w:rPr>
  </w:style>
  <w:style w:type="paragraph" w:styleId="Encabezadodelatabla">
    <w:name w:val="Encabezado de la tabla"/>
    <w:basedOn w:val="Contenidodelatabla"/>
    <w:next w:val="Encabezadodelatabla"/>
    <w:autoRedefine w:val="0"/>
    <w:hidden w:val="0"/>
    <w:qFormat w:val="0"/>
    <w:pPr>
      <w:suppressLineNumbers w:val="1"/>
      <w:suppressAutoHyphens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b w:val="1"/>
      <w:bCs w:val="1"/>
      <w:w w:val="100"/>
      <w:position w:val="-1"/>
      <w:effect w:val="none"/>
      <w:vertAlign w:val="baseline"/>
      <w:cs w:val="0"/>
      <w:em w:val="none"/>
      <w:lang w:bidi="ar-SA" w:eastAsia="ar-SA" w:val="es-ES"/>
    </w:rPr>
  </w:style>
  <w:style w:type="table" w:styleId="Tablaconcuadrícula">
    <w:name w:val="Tabla con cuadrícula"/>
    <w:basedOn w:val="Tablanormal"/>
    <w:next w:val="Tablaconcuadrícula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aconcuadrícula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al(Web)">
    <w:name w:val="Normal (Web)"/>
    <w:basedOn w:val="Normal"/>
    <w:next w:val="Normal(Web)"/>
    <w:autoRedefine w:val="0"/>
    <w:hidden w:val="0"/>
    <w:qFormat w:val="0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s-ES" w:val="es-ES"/>
    </w:rPr>
  </w:style>
  <w:style w:type="character" w:styleId="Textoennegrita">
    <w:name w:val="Texto en negrita"/>
    <w:next w:val="Textoennegrita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Hipervínculovisitado">
    <w:name w:val="Hipervínculo visitado"/>
    <w:next w:val="Hipervínculovisitado"/>
    <w:autoRedefine w:val="0"/>
    <w:hidden w:val="0"/>
    <w:qFormat w:val="0"/>
    <w:rPr>
      <w:color w:val="800080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Párrafodelista">
    <w:name w:val="Párrafo de lista"/>
    <w:basedOn w:val="Normal"/>
    <w:next w:val="Párrafodelista"/>
    <w:autoRedefine w:val="0"/>
    <w:hidden w:val="0"/>
    <w:qFormat w:val="0"/>
    <w:pPr>
      <w:suppressAutoHyphens w:val="1"/>
      <w:spacing w:after="200" w:line="276" w:lineRule="auto"/>
      <w:ind w:left="720" w:leftChars="-1" w:rightChars="0" w:firstLineChars="-1"/>
      <w:contextualSpacing w:val="1"/>
      <w:textDirection w:val="btLr"/>
      <w:textAlignment w:val="top"/>
      <w:outlineLvl w:val="0"/>
    </w:pPr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s-ES"/>
    </w:rPr>
  </w:style>
  <w:style w:type="character" w:styleId="Ref.denotaalpie">
    <w:name w:val="Ref. de nota al pie"/>
    <w:next w:val="Ref.denotaalpie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character" w:styleId="Título4Car">
    <w:name w:val="Título 4 Car"/>
    <w:next w:val="Título4Car"/>
    <w:autoRedefine w:val="0"/>
    <w:hidden w:val="0"/>
    <w:qFormat w:val="0"/>
    <w:rPr>
      <w:b w:val="1"/>
      <w:bCs w:val="1"/>
      <w:color w:val="00000a"/>
      <w:w w:val="100"/>
      <w:position w:val="-1"/>
      <w:sz w:val="30"/>
      <w:szCs w:val="24"/>
      <w:effect w:val="none"/>
      <w:shd w:color="auto" w:fill="e6e6e6" w:val="clear"/>
      <w:vertAlign w:val="baseline"/>
      <w:cs w:val="0"/>
      <w:em w:val="none"/>
      <w:lang w:bidi="hi-IN" w:eastAsia="zh-CN" w:val="es-ES"/>
    </w:rPr>
  </w:style>
  <w:style w:type="paragraph" w:styleId="Sangría2det.independiente">
    <w:name w:val="Sangría 2 de t. independiente"/>
    <w:basedOn w:val="Normal"/>
    <w:next w:val="Sangría2det.independiente"/>
    <w:autoRedefine w:val="0"/>
    <w:hidden w:val="0"/>
    <w:qFormat w:val="0"/>
    <w:pPr>
      <w:suppressAutoHyphens w:val="0"/>
      <w:spacing w:after="120" w:line="480" w:lineRule="auto"/>
      <w:ind w:left="283"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ar-SA" w:val="es-ES"/>
    </w:rPr>
  </w:style>
  <w:style w:type="character" w:styleId="Sangría2det.independienteCar">
    <w:name w:val="Sangría 2 de t. independiente Car"/>
    <w:next w:val="Sangría2det.independienteC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eastAsia="ar-SA" w:val="es-ES"/>
    </w:rPr>
  </w:style>
  <w:style w:type="character" w:styleId="Ref.decomentario">
    <w:name w:val="Ref. de comentario"/>
    <w:next w:val="Ref.decomentario"/>
    <w:autoRedefine w:val="0"/>
    <w:hidden w:val="0"/>
    <w:qFormat w:val="0"/>
    <w:rPr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Textocomentario">
    <w:name w:val="Texto comentario"/>
    <w:basedOn w:val="Normal"/>
    <w:next w:val="Textocomentario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ar-SA" w:val="es-ES"/>
    </w:rPr>
  </w:style>
  <w:style w:type="character" w:styleId="TextocomentarioCar">
    <w:name w:val="Texto comentario Car"/>
    <w:next w:val="TextocomentarioC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eastAsia="ar-SA" w:val="es-ES"/>
    </w:rPr>
  </w:style>
  <w:style w:type="paragraph" w:styleId="Asuntodelcomentario">
    <w:name w:val="Asunto del comentario"/>
    <w:basedOn w:val="Textocomentario"/>
    <w:next w:val="Textocomentario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b w:val="1"/>
      <w:bCs w:val="1"/>
      <w:w w:val="100"/>
      <w:position w:val="-1"/>
      <w:effect w:val="none"/>
      <w:vertAlign w:val="baseline"/>
      <w:cs w:val="0"/>
      <w:em w:val="none"/>
      <w:lang w:bidi="ar-SA" w:eastAsia="ar-SA" w:val="es-ES"/>
    </w:rPr>
  </w:style>
  <w:style w:type="character" w:styleId="AsuntodelcomentarioCar">
    <w:name w:val="Asunto del comentario Car"/>
    <w:next w:val="AsuntodelcomentarioCar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 w:eastAsia="ar-SA" w:val="es-ES"/>
    </w:rPr>
  </w:style>
  <w:style w:type="character" w:styleId="Título1Car">
    <w:name w:val="Título 1 Car"/>
    <w:next w:val="Título1Car"/>
    <w:autoRedefine w:val="0"/>
    <w:hidden w:val="0"/>
    <w:qFormat w:val="0"/>
    <w:rPr>
      <w:rFonts w:ascii="Aptos Display" w:cs="Times New Roman" w:eastAsia="Times New Roman" w:hAnsi="Aptos Display"/>
      <w:b w:val="1"/>
      <w:bCs w:val="1"/>
      <w:w w:val="100"/>
      <w:kern w:val="32"/>
      <w:position w:val="-1"/>
      <w:sz w:val="32"/>
      <w:szCs w:val="32"/>
      <w:effect w:val="none"/>
      <w:vertAlign w:val="baseline"/>
      <w:cs w:val="0"/>
      <w:em w:val="none"/>
      <w:lang w:eastAsia="ar-SA" w:val="es-ES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g1Jw7BhEIvkSe7ZBlJmB2CbBFg==">CgMxLjAyCGguZ2pkZ3hzMgloLjMwajB6bGw4AHIhMVNoRjFiQnFQRjV4OEJwXzNsc3BEVW4xSml3S1lYdlJI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2024-05-13T17:53:00Z</dcterms:created>
  <dc:creator>Sergio Merino</dc:creator>
</cp:coreProperties>
</file>