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41" w:rightFromText="141" w:topFromText="0" w:bottomFromText="0" w:vertAnchor="margin" w:horzAnchor="margin" w:tblpX="0" w:tblpY="0"/>
        <w:tblW w:w="9214.0" w:type="dxa"/>
        <w:jc w:val="left"/>
        <w:tblLayout w:type="fixed"/>
        <w:tblLook w:val="0000"/>
      </w:tblPr>
      <w:tblGrid>
        <w:gridCol w:w="9214"/>
        <w:tblGridChange w:id="0">
          <w:tblGrid>
            <w:gridCol w:w="9214"/>
          </w:tblGrid>
        </w:tblGridChange>
      </w:tblGrid>
      <w:tr>
        <w:trPr>
          <w:cantSplit w:val="0"/>
          <w:tblHeader w:val="0"/>
        </w:trPr>
        <w:tc>
          <w:tcPr>
            <w:vAlign w:val="top"/>
          </w:tcPr>
          <w:p w:rsidR="00000000" w:rsidDel="00000000" w:rsidP="00000000" w:rsidRDefault="00000000" w:rsidRPr="00000000" w14:paraId="00000002">
            <w:pPr>
              <w:jc w:val="center"/>
              <w:rPr>
                <w:rFonts w:ascii="Arial" w:cs="Arial" w:eastAsia="Arial" w:hAnsi="Arial"/>
                <w:b w:val="0"/>
                <w:bCs w:val="0"/>
                <w:sz w:val="22"/>
                <w:szCs w:val="22"/>
                <w:vertAlign w:val="baseline"/>
              </w:rPr>
            </w:pPr>
            <w:r w:rsidDel="00000000" w:rsidR="00000000" w:rsidRPr="00000000">
              <w:rPr>
                <w:rtl w:val="0"/>
              </w:rPr>
            </w:r>
          </w:p>
          <w:p w:rsidR="00000000" w:rsidDel="00000000" w:rsidP="00000000" w:rsidRDefault="00000000" w:rsidRPr="00000000" w14:paraId="0000000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4">
            <w:pPr>
              <w:jc w:val="cente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Pr>
              <w:drawing>
                <wp:inline distB="0" distT="0" distL="114300" distR="114300">
                  <wp:extent cx="3495675" cy="1304925"/>
                  <wp:effectExtent b="0" l="0" r="0" t="0"/>
                  <wp:docPr id="103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495675" cy="130492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6">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Dirección General de Educación Superior</w:t>
            </w:r>
            <w:r w:rsidDel="00000000" w:rsidR="00000000" w:rsidRPr="00000000">
              <w:rPr>
                <w:rtl w:val="0"/>
              </w:rPr>
            </w:r>
          </w:p>
          <w:p w:rsidR="00000000" w:rsidDel="00000000" w:rsidP="00000000" w:rsidRDefault="00000000" w:rsidRPr="00000000" w14:paraId="00000008">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Instituto Superior de Formación Docente N° 803</w:t>
            </w:r>
            <w:r w:rsidDel="00000000" w:rsidR="00000000" w:rsidRPr="00000000">
              <w:rPr>
                <w:rtl w:val="0"/>
              </w:rPr>
            </w:r>
          </w:p>
          <w:p w:rsidR="00000000" w:rsidDel="00000000" w:rsidP="00000000" w:rsidRDefault="00000000" w:rsidRPr="00000000" w14:paraId="00000009">
            <w:pPr>
              <w:jc w:val="center"/>
              <w:rPr>
                <w:rFonts w:ascii="Arial" w:cs="Arial" w:eastAsia="Arial" w:hAnsi="Arial"/>
                <w:b w:val="0"/>
                <w:bCs w:val="0"/>
                <w:sz w:val="22"/>
                <w:szCs w:val="22"/>
                <w:vertAlign w:val="baseline"/>
              </w:rPr>
            </w:pPr>
            <w:r w:rsidDel="00000000" w:rsidR="00000000" w:rsidRPr="00000000">
              <w:rPr>
                <w:rFonts w:ascii="Arial" w:cs="Arial" w:eastAsia="Arial" w:hAnsi="Arial"/>
                <w:b w:val="1"/>
                <w:bCs w:val="1"/>
                <w:sz w:val="22"/>
                <w:szCs w:val="22"/>
                <w:vertAlign w:val="baseline"/>
                <w:rtl w:val="0"/>
              </w:rPr>
              <w:t xml:space="preserve">Puerto Madryn</w:t>
            </w:r>
            <w:r w:rsidDel="00000000" w:rsidR="00000000" w:rsidRPr="00000000">
              <w:rPr>
                <w:rtl w:val="0"/>
              </w:rPr>
            </w:r>
          </w:p>
          <w:p w:rsidR="00000000" w:rsidDel="00000000" w:rsidP="00000000" w:rsidRDefault="00000000" w:rsidRPr="00000000" w14:paraId="0000000A">
            <w:pPr>
              <w:rPr>
                <w:rFonts w:ascii="Arial" w:cs="Arial" w:eastAsia="Arial" w:hAnsi="Arial"/>
                <w:sz w:val="22"/>
                <w:szCs w:val="22"/>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B">
            <w:pPr>
              <w:shd w:fill="000000" w:val="clear"/>
              <w:jc w:val="center"/>
              <w:rPr>
                <w:rFonts w:ascii="Arial" w:cs="Arial" w:eastAsia="Arial" w:hAnsi="Arial"/>
                <w:b w:val="0"/>
                <w:bCs w:val="0"/>
                <w:color w:val="ffffff"/>
                <w:sz w:val="22"/>
                <w:szCs w:val="22"/>
                <w:vertAlign w:val="baseline"/>
              </w:rPr>
            </w:pPr>
            <w:r w:rsidDel="00000000" w:rsidR="00000000" w:rsidRPr="00000000">
              <w:rPr>
                <w:rFonts w:ascii="Arial" w:cs="Arial" w:eastAsia="Arial" w:hAnsi="Arial"/>
                <w:b w:val="1"/>
                <w:bCs w:val="1"/>
                <w:color w:val="ffffff"/>
                <w:sz w:val="22"/>
                <w:szCs w:val="22"/>
                <w:vertAlign w:val="baseline"/>
                <w:rtl w:val="0"/>
              </w:rPr>
              <w:t xml:space="preserve">P R O G R A M A   2 0</w:t>
            </w:r>
            <w:r w:rsidDel="00000000" w:rsidR="00000000" w:rsidRPr="00000000">
              <w:rPr>
                <w:rFonts w:ascii="Arial" w:cs="Arial" w:eastAsia="Arial" w:hAnsi="Arial"/>
                <w:b w:val="1"/>
                <w:bCs w:val="1"/>
                <w:color w:val="ffffff"/>
                <w:sz w:val="22"/>
                <w:szCs w:val="22"/>
                <w:rtl w:val="0"/>
              </w:rPr>
              <w:t xml:space="preserve">26</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C">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D">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vertAlign w:val="baseline"/>
              </w:rPr>
            </w:pPr>
            <w:r w:rsidDel="00000000" w:rsidR="00000000" w:rsidRPr="00000000">
              <w:rPr>
                <w:rFonts w:ascii="Arial" w:cs="Arial" w:eastAsia="Arial" w:hAnsi="Arial"/>
                <w:vertAlign w:val="baseline"/>
                <w:rtl w:val="0"/>
              </w:rPr>
              <w:t xml:space="preserve">Carrera: </w:t>
            </w:r>
          </w:p>
          <w:tbl>
            <w:tblPr>
              <w:tblStyle w:val="Table2"/>
              <w:tblW w:w="919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199"/>
              <w:tblGridChange w:id="0">
                <w:tblGrid>
                  <w:gridCol w:w="9199"/>
                </w:tblGrid>
              </w:tblGridChange>
            </w:tblGrid>
            <w:tr>
              <w:trPr>
                <w:cantSplit w:val="0"/>
                <w:tblHeader w:val="0"/>
              </w:trPr>
              <w:tc>
                <w:tcPr>
                  <w:vAlign w:val="top"/>
                </w:tcPr>
                <w:p w:rsidR="00000000" w:rsidDel="00000000" w:rsidP="00000000" w:rsidRDefault="00000000" w:rsidRPr="00000000" w14:paraId="0000000F">
                  <w:pPr>
                    <w:rPr>
                      <w:rFonts w:ascii="Arial" w:cs="Arial" w:eastAsia="Arial" w:hAnsi="Arial"/>
                      <w:b w:val="1"/>
                      <w:bCs w:val="1"/>
                      <w:sz w:val="22"/>
                      <w:szCs w:val="22"/>
                    </w:rPr>
                  </w:pPr>
                  <w:r w:rsidDel="00000000" w:rsidR="00000000" w:rsidRPr="00000000">
                    <w:rPr>
                      <w:rFonts w:ascii="Arial" w:cs="Arial" w:eastAsia="Arial" w:hAnsi="Arial"/>
                      <w:b w:val="1"/>
                      <w:bCs w:val="1"/>
                      <w:vertAlign w:val="baseline"/>
                      <w:rtl w:val="0"/>
                    </w:rPr>
                    <w:t xml:space="preserve">           </w:t>
                  </w:r>
                  <w:r w:rsidDel="00000000" w:rsidR="00000000" w:rsidRPr="00000000">
                    <w:rPr>
                      <w:rFonts w:ascii="Arial" w:cs="Arial" w:eastAsia="Arial" w:hAnsi="Arial"/>
                      <w:b w:val="1"/>
                      <w:bCs w:val="1"/>
                      <w:sz w:val="22"/>
                      <w:szCs w:val="22"/>
                      <w:rtl w:val="0"/>
                    </w:rPr>
                    <w:t xml:space="preserve">Profesorado de Educación Secundaria en Biología      RES N°  518/2019</w:t>
                  </w:r>
                </w:p>
                <w:p w:rsidR="00000000" w:rsidDel="00000000" w:rsidP="00000000" w:rsidRDefault="00000000" w:rsidRPr="00000000" w14:paraId="00000010">
                  <w:pPr>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1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2">
            <w:pPr>
              <w:rPr>
                <w:rFonts w:ascii="Arial" w:cs="Arial" w:eastAsia="Arial" w:hAnsi="Arial"/>
                <w:vertAlign w:val="baseline"/>
              </w:rPr>
            </w:pPr>
            <w:r w:rsidDel="00000000" w:rsidR="00000000" w:rsidRPr="00000000">
              <w:rPr>
                <w:rFonts w:ascii="Arial" w:cs="Arial" w:eastAsia="Arial" w:hAnsi="Arial"/>
                <w:vertAlign w:val="baseline"/>
                <w:rtl w:val="0"/>
              </w:rPr>
              <w:t xml:space="preserve">Espacio curricular                                                         Equipo Docente</w:t>
            </w:r>
          </w:p>
          <w:tbl>
            <w:tblPr>
              <w:tblStyle w:val="Table3"/>
              <w:tblW w:w="919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99"/>
              <w:gridCol w:w="4600"/>
              <w:tblGridChange w:id="0">
                <w:tblGrid>
                  <w:gridCol w:w="4599"/>
                  <w:gridCol w:w="4600"/>
                </w:tblGrid>
              </w:tblGridChange>
            </w:tblGrid>
            <w:tr>
              <w:trPr>
                <w:cantSplit w:val="0"/>
                <w:tblHeader w:val="0"/>
              </w:trPr>
              <w:tc>
                <w:tcPr>
                  <w:vAlign w:val="top"/>
                </w:tcPr>
                <w:p w:rsidR="00000000" w:rsidDel="00000000" w:rsidP="00000000" w:rsidRDefault="00000000" w:rsidRPr="00000000" w14:paraId="0000001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4">
                  <w:pPr>
                    <w:rPr>
                      <w:rFonts w:ascii="Arial" w:cs="Arial" w:eastAsia="Arial" w:hAnsi="Arial"/>
                      <w:vertAlign w:val="baseline"/>
                    </w:rPr>
                  </w:pPr>
                  <w:r w:rsidDel="00000000" w:rsidR="00000000" w:rsidRPr="00000000">
                    <w:rPr>
                      <w:rFonts w:ascii="Arial" w:cs="Arial" w:eastAsia="Arial" w:hAnsi="Arial"/>
                      <w:rtl w:val="0"/>
                    </w:rPr>
                    <w:t xml:space="preserve">Psicología Educacional</w:t>
                  </w:r>
                  <w:r w:rsidDel="00000000" w:rsidR="00000000" w:rsidRPr="00000000">
                    <w:rPr>
                      <w:rtl w:val="0"/>
                    </w:rPr>
                  </w:r>
                </w:p>
              </w:tc>
              <w:tc>
                <w:tcPr>
                  <w:vAlign w:val="top"/>
                </w:tcPr>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Castelnuovo Renata S.</w:t>
                  </w:r>
                </w:p>
              </w:tc>
            </w:tr>
          </w:tbl>
          <w:p w:rsidR="00000000" w:rsidDel="00000000" w:rsidP="00000000" w:rsidRDefault="00000000" w:rsidRPr="00000000" w14:paraId="00000017">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vertAlign w:val="baseline"/>
              </w:rPr>
            </w:pPr>
            <w:r w:rsidDel="00000000" w:rsidR="00000000" w:rsidRPr="00000000">
              <w:rPr>
                <w:rtl w:val="0"/>
              </w:rPr>
            </w:r>
          </w:p>
        </w:tc>
      </w:tr>
    </w:tbl>
    <w:p w:rsidR="00000000" w:rsidDel="00000000" w:rsidP="00000000" w:rsidRDefault="00000000" w:rsidRPr="00000000" w14:paraId="00000019">
      <w:pPr>
        <w:pBdr>
          <w:top w:color="000000" w:space="1" w:sz="4" w:val="single"/>
          <w:left w:color="000000" w:space="4" w:sz="4" w:val="single"/>
          <w:bottom w:color="000000" w:space="1" w:sz="4" w:val="single"/>
          <w:right w:color="000000" w:space="4" w:sz="4" w:val="single"/>
        </w:pBdr>
        <w:shd w:fill="0d0d0d" w:val="clear"/>
        <w:jc w:val="both"/>
        <w:rPr>
          <w:rFonts w:ascii="Arial" w:cs="Arial" w:eastAsia="Arial" w:hAnsi="Arial"/>
          <w:b w:val="0"/>
          <w:bCs w:val="0"/>
          <w:color w:val="ffffff"/>
          <w:vertAlign w:val="baseline"/>
        </w:rPr>
      </w:pPr>
      <w:r w:rsidDel="00000000" w:rsidR="00000000" w:rsidRPr="00000000">
        <w:rPr>
          <w:rFonts w:ascii="Arial" w:cs="Arial" w:eastAsia="Arial" w:hAnsi="Arial"/>
          <w:b w:val="1"/>
          <w:bCs w:val="1"/>
          <w:color w:val="ffffff"/>
          <w:vertAlign w:val="baseline"/>
          <w:rtl w:val="0"/>
        </w:rPr>
        <w:t xml:space="preserve">1. FUNDAMENTACIÓN (Breve fundamentación destinada a los/as estudiantes; no es necesario incluir la fundamentación del proyecto con el cual se concursó)</w:t>
      </w:r>
      <w:r w:rsidDel="00000000" w:rsidR="00000000" w:rsidRPr="00000000">
        <w:rPr>
          <w:rtl w:val="0"/>
        </w:rPr>
      </w:r>
    </w:p>
    <w:p w:rsidR="00000000" w:rsidDel="00000000" w:rsidP="00000000" w:rsidRDefault="00000000" w:rsidRPr="00000000" w14:paraId="0000001A">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El desarrollo del espacio curricular tiene como propósito que docentes en formación adquieran herramientas cognitivas que le permitan posicionarse frente a espacios educativos diversos, desde una perspectiva inclusiva y una mirada situacional. Esto implica, entender a quienes participan de la práctica educativa (a la comunidad), como sujetos que transitan procesos diversos en cuanto a desarrollo psíquico y emocional, y en el transitar la institución escolar, forman parte de la construcción de esta. </w:t>
      </w:r>
    </w:p>
    <w:p w:rsidR="00000000" w:rsidDel="00000000" w:rsidP="00000000" w:rsidRDefault="00000000" w:rsidRPr="00000000" w14:paraId="0000001B">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Por ello, el recorrido de los aportes de la psicología educacional a la práctica educativa, permite reflexionar y producir conocimiento sobre los modelos psicológicos del aprendizaje, desarrollo y socialización. Los mismos, posibilitan la construcción de marcos conceptuales a fin de complejizar las relaciones entre el sujeto y el aprendizaje, el conocimiento cotidiano y el escolar. </w:t>
      </w:r>
    </w:p>
    <w:p w:rsidR="00000000" w:rsidDel="00000000" w:rsidP="00000000" w:rsidRDefault="00000000" w:rsidRPr="00000000" w14:paraId="0000001C">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Así mismo, el abordaje de distintos enfoques psicológicos permite la generación de miradas críticas frente a futuras intervenciones en escenarios educativos, atendiendo a diversas formas de aprender, principalmente a sus fortalezas. </w:t>
      </w:r>
    </w:p>
    <w:p w:rsidR="00000000" w:rsidDel="00000000" w:rsidP="00000000" w:rsidRDefault="00000000" w:rsidRPr="00000000" w14:paraId="0000001D">
      <w:pPr>
        <w:widowControl w:val="0"/>
        <w:jc w:val="both"/>
        <w:rPr>
          <w:rFonts w:ascii="Arial" w:cs="Arial" w:eastAsia="Arial" w:hAnsi="Arial"/>
        </w:rPr>
      </w:pPr>
      <w:r w:rsidDel="00000000" w:rsidR="00000000" w:rsidRPr="00000000">
        <w:rPr>
          <w:rFonts w:ascii="Arial" w:cs="Arial" w:eastAsia="Arial" w:hAnsi="Arial"/>
          <w:sz w:val="22"/>
          <w:szCs w:val="22"/>
          <w:rtl w:val="0"/>
        </w:rPr>
        <w:t xml:space="preserve">Analizar el aprendizaje teniendo en cuenta dimensiones como lo vincular, emocional y cognitivo, aporta a la comprensión de su dinámica, riqueza y particularidades, fundamental para los procesos de mediación del docente en el diseño y la coordinación de la enseñanza.</w:t>
      </w:r>
      <w:r w:rsidDel="00000000" w:rsidR="00000000" w:rsidRPr="00000000">
        <w:rPr>
          <w:rtl w:val="0"/>
        </w:rPr>
      </w:r>
    </w:p>
    <w:p w:rsidR="00000000" w:rsidDel="00000000" w:rsidP="00000000" w:rsidRDefault="00000000" w:rsidRPr="00000000" w14:paraId="0000001E">
      <w:pPr>
        <w:pBdr>
          <w:top w:color="000000" w:space="1" w:sz="4" w:val="single"/>
          <w:left w:color="000000" w:space="4" w:sz="4" w:val="single"/>
          <w:bottom w:color="000000" w:space="1" w:sz="4" w:val="single"/>
          <w:right w:color="000000" w:space="4" w:sz="4" w:val="single"/>
        </w:pBdr>
        <w:shd w:fill="0d0d0d" w:val="clear"/>
        <w:jc w:val="both"/>
        <w:rPr>
          <w:rFonts w:ascii="Arial" w:cs="Arial" w:eastAsia="Arial" w:hAnsi="Arial"/>
          <w:b w:val="0"/>
          <w:bCs w:val="0"/>
          <w:color w:val="ffffff"/>
          <w:vertAlign w:val="baseline"/>
        </w:rPr>
      </w:pPr>
      <w:r w:rsidDel="00000000" w:rsidR="00000000" w:rsidRPr="00000000">
        <w:rPr>
          <w:rFonts w:ascii="Arial" w:cs="Arial" w:eastAsia="Arial" w:hAnsi="Arial"/>
          <w:b w:val="1"/>
          <w:bCs w:val="1"/>
          <w:color w:val="ffffff"/>
          <w:vertAlign w:val="baseline"/>
          <w:rtl w:val="0"/>
        </w:rPr>
        <w:t xml:space="preserve">2. OBJETIVOS</w:t>
      </w:r>
      <w:r w:rsidDel="00000000" w:rsidR="00000000" w:rsidRPr="00000000">
        <w:rPr>
          <w:rtl w:val="0"/>
        </w:rPr>
      </w:r>
    </w:p>
    <w:p w:rsidR="00000000" w:rsidDel="00000000" w:rsidP="00000000" w:rsidRDefault="00000000" w:rsidRPr="00000000" w14:paraId="0000001F">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Macro-objetivos</w:t>
      </w:r>
    </w:p>
    <w:p w:rsidR="00000000" w:rsidDel="00000000" w:rsidP="00000000" w:rsidRDefault="00000000" w:rsidRPr="00000000" w14:paraId="00000020">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Comprender los estudios y conceptos básicos de la psicología como ciencia.</w:t>
      </w:r>
    </w:p>
    <w:p w:rsidR="00000000" w:rsidDel="00000000" w:rsidP="00000000" w:rsidRDefault="00000000" w:rsidRPr="00000000" w14:paraId="00000021">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Abordar las diferentes teorías sobre el desarrollo cognitivo y social con énfasis en el</w:t>
      </w:r>
    </w:p>
    <w:p w:rsidR="00000000" w:rsidDel="00000000" w:rsidP="00000000" w:rsidRDefault="00000000" w:rsidRPr="00000000" w14:paraId="00000022">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proceso de aprendizaje.</w:t>
      </w:r>
    </w:p>
    <w:p w:rsidR="00000000" w:rsidDel="00000000" w:rsidP="00000000" w:rsidRDefault="00000000" w:rsidRPr="00000000" w14:paraId="00000023">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Incentivar un marco general de carácter reflexivo y crítico acerca de los alcances y</w:t>
      </w:r>
    </w:p>
    <w:p w:rsidR="00000000" w:rsidDel="00000000" w:rsidP="00000000" w:rsidRDefault="00000000" w:rsidRPr="00000000" w14:paraId="00000024">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profundidad de los conceptos dados.</w:t>
      </w:r>
    </w:p>
    <w:p w:rsidR="00000000" w:rsidDel="00000000" w:rsidP="00000000" w:rsidRDefault="00000000" w:rsidRPr="00000000" w14:paraId="00000025">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Abordar y reflexionar respecto de la concepción de los sujetos en contextos educacionales diversos.</w:t>
      </w:r>
    </w:p>
    <w:p w:rsidR="00000000" w:rsidDel="00000000" w:rsidP="00000000" w:rsidRDefault="00000000" w:rsidRPr="00000000" w14:paraId="00000026">
      <w:pPr>
        <w:widowControl w:val="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Micro-objetivos</w:t>
      </w:r>
    </w:p>
    <w:p w:rsidR="00000000" w:rsidDel="00000000" w:rsidP="00000000" w:rsidRDefault="00000000" w:rsidRPr="00000000" w14:paraId="00000028">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Desarrollar marcos de reflexión acorde con situaciones susceptibles de ser trasladadas al ámbito de la actualidad local.</w:t>
      </w:r>
    </w:p>
    <w:p w:rsidR="00000000" w:rsidDel="00000000" w:rsidP="00000000" w:rsidRDefault="00000000" w:rsidRPr="00000000" w14:paraId="00000029">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Proponer los conceptos en forma abierta a la discusión, prestando al debate</w:t>
      </w:r>
    </w:p>
    <w:p w:rsidR="00000000" w:rsidDel="00000000" w:rsidP="00000000" w:rsidRDefault="00000000" w:rsidRPr="00000000" w14:paraId="0000002A">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constructivo en el aula.</w:t>
      </w:r>
    </w:p>
    <w:p w:rsidR="00000000" w:rsidDel="00000000" w:rsidP="00000000" w:rsidRDefault="00000000" w:rsidRPr="00000000" w14:paraId="0000002B">
      <w:pPr>
        <w:jc w:val="both"/>
        <w:rPr>
          <w:rFonts w:ascii="Arial" w:cs="Arial" w:eastAsia="Arial" w:hAnsi="Arial"/>
        </w:rPr>
      </w:pPr>
      <w:r w:rsidDel="00000000" w:rsidR="00000000" w:rsidRPr="00000000">
        <w:rPr>
          <w:rtl w:val="0"/>
        </w:rPr>
      </w:r>
    </w:p>
    <w:p w:rsidR="00000000" w:rsidDel="00000000" w:rsidP="00000000" w:rsidRDefault="00000000" w:rsidRPr="00000000" w14:paraId="0000002C">
      <w:pPr>
        <w:pBdr>
          <w:top w:color="000000" w:space="1" w:sz="4" w:val="single"/>
          <w:left w:color="000000" w:space="4" w:sz="4" w:val="single"/>
          <w:bottom w:color="000000" w:space="1" w:sz="4" w:val="single"/>
          <w:right w:color="000000" w:space="4" w:sz="4" w:val="single"/>
        </w:pBdr>
        <w:shd w:fill="0d0d0d" w:val="clear"/>
        <w:jc w:val="both"/>
        <w:rPr>
          <w:rFonts w:ascii="Arial" w:cs="Arial" w:eastAsia="Arial" w:hAnsi="Arial"/>
          <w:b w:val="0"/>
          <w:bCs w:val="0"/>
          <w:color w:val="ffffff"/>
          <w:vertAlign w:val="baseline"/>
        </w:rPr>
      </w:pPr>
      <w:bookmarkStart w:colFirst="0" w:colLast="0" w:name="_heading=h.gjdgxs" w:id="0"/>
      <w:bookmarkEnd w:id="0"/>
      <w:r w:rsidDel="00000000" w:rsidR="00000000" w:rsidRPr="00000000">
        <w:rPr>
          <w:rFonts w:ascii="Arial" w:cs="Arial" w:eastAsia="Arial" w:hAnsi="Arial"/>
          <w:b w:val="1"/>
          <w:bCs w:val="1"/>
          <w:color w:val="ffffff"/>
          <w:vertAlign w:val="baseline"/>
          <w:rtl w:val="0"/>
        </w:rPr>
        <w:t xml:space="preserve">3. CONTENIDOS – BIBLIOGRAFÍA </w:t>
      </w:r>
      <w:r w:rsidDel="00000000" w:rsidR="00000000" w:rsidRPr="00000000">
        <w:rPr>
          <w:rtl w:val="0"/>
        </w:rPr>
      </w:r>
    </w:p>
    <w:p w:rsidR="00000000" w:rsidDel="00000000" w:rsidP="00000000" w:rsidRDefault="00000000" w:rsidRPr="00000000" w14:paraId="0000002D">
      <w:pPr>
        <w:widowControl w:val="0"/>
        <w:spacing w:before="5" w:line="360" w:lineRule="auto"/>
        <w:ind w:left="271" w:right="142"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Eje 1:</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Psicología y educación.</w:t>
      </w:r>
      <w:r w:rsidDel="00000000" w:rsidR="00000000" w:rsidRPr="00000000">
        <w:rPr>
          <w:rFonts w:ascii="Arial" w:cs="Arial" w:eastAsia="Arial" w:hAnsi="Arial"/>
          <w:sz w:val="22"/>
          <w:szCs w:val="22"/>
          <w:rtl w:val="0"/>
        </w:rPr>
        <w:t xml:space="preserve"> Discusión frente a las relaciones entre la Psicología y la Educación y, los riesgos reduccionistas y aplicacionistas existentes. Análisis de los vínculos entre escolarización y procesos de desarrollo, aprendizaje y enseñanza. Se asume que la escuela es una institución moderna cuya difusión supuso un cambio drástico en las prácticas de crianza, constituyéndose en un dispositivo de diseño y canalización del desarrollo humano.</w:t>
      </w:r>
    </w:p>
    <w:p w:rsidR="00000000" w:rsidDel="00000000" w:rsidP="00000000" w:rsidRDefault="00000000" w:rsidRPr="00000000" w14:paraId="0000002E">
      <w:pPr>
        <w:widowControl w:val="0"/>
        <w:spacing w:before="5" w:line="360" w:lineRule="auto"/>
        <w:ind w:left="271" w:right="142"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Aparecen representados los aportes de importantes teorías psicológicas del siglo XX como: Psicoanálisis de Sigmund Freud; Constructivismo de Jean Piaget; Interaccionismo sociohistórico de Lev Vigotsky; Teorías Cognitivas de A. Beck y, del Procesamiento de la información; H. Gardner, Inteligencias múltiples, y; D. Ausubel Aprendizaje significativo. Interesa conocer el núcleo fundamental de estas teorías que han moldeado la percepción moderna sobre el desarrollo humano, pero también se considera importante abordar las principales derivaciones de estas en las últimas décadas y su importancia en el campo educativo. Así mismo, se dará lugar a la consideración de las principales críticas que estos enfoques han recibido.</w:t>
      </w:r>
    </w:p>
    <w:p w:rsidR="00000000" w:rsidDel="00000000" w:rsidP="00000000" w:rsidRDefault="00000000" w:rsidRPr="00000000" w14:paraId="0000002F">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ARDILA, R. (2013). Los orígenes del conductismo, Watson y el manifiesto conductista de 1913. Revista Latinoamericana de psicología, Vol. 45 nro 2. Pp 315-319- Fundación Universitaria Konrad Lorenz. Bogotá, Colombia.</w:t>
      </w:r>
      <w:r w:rsidDel="00000000" w:rsidR="00000000" w:rsidRPr="00000000">
        <w:rPr>
          <w:rtl w:val="0"/>
        </w:rPr>
      </w:r>
    </w:p>
    <w:p w:rsidR="00000000" w:rsidDel="00000000" w:rsidP="00000000" w:rsidRDefault="00000000" w:rsidRPr="00000000" w14:paraId="00000030">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BAQUERO, R. (2001). Vigostky y el aprendizaje escolar. </w:t>
      </w:r>
      <w:r w:rsidDel="00000000" w:rsidR="00000000" w:rsidRPr="00000000">
        <w:rPr>
          <w:rFonts w:ascii="Arial" w:cs="Arial" w:eastAsia="Arial" w:hAnsi="Arial"/>
          <w:sz w:val="22"/>
          <w:szCs w:val="22"/>
          <w:rtl w:val="0"/>
        </w:rPr>
        <w:t xml:space="preserve">Aique Grupo</w:t>
      </w:r>
      <w:r w:rsidDel="00000000" w:rsidR="00000000" w:rsidRPr="00000000">
        <w:rPr>
          <w:rFonts w:ascii="Arial" w:cs="Arial" w:eastAsia="Arial" w:hAnsi="Arial"/>
          <w:sz w:val="22"/>
          <w:szCs w:val="22"/>
          <w:rtl w:val="0"/>
        </w:rPr>
        <w:t xml:space="preserve"> Editor S.A., Buenos Aires. </w:t>
      </w:r>
      <w:r w:rsidDel="00000000" w:rsidR="00000000" w:rsidRPr="00000000">
        <w:rPr>
          <w:rtl w:val="0"/>
        </w:rPr>
      </w:r>
    </w:p>
    <w:p w:rsidR="00000000" w:rsidDel="00000000" w:rsidP="00000000" w:rsidRDefault="00000000" w:rsidRPr="00000000" w14:paraId="00000031">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CASTELNUOVO, Renata (2020). Introducción a la Psicología Educacional. Documento de Cátedra. Psicología Educacional, Instituto Superior de Formación Docente 803, Puerto Madryn.</w:t>
      </w:r>
      <w:r w:rsidDel="00000000" w:rsidR="00000000" w:rsidRPr="00000000">
        <w:rPr>
          <w:rtl w:val="0"/>
        </w:rPr>
      </w:r>
    </w:p>
    <w:p w:rsidR="00000000" w:rsidDel="00000000" w:rsidP="00000000" w:rsidRDefault="00000000" w:rsidRPr="00000000" w14:paraId="00000032">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CASTELNUOVO, Renata (2020). Teorías Cognitivas. Documento de Cátedra. Psicología Educacional, Instituto Superior de Formación Docente 803, Puerto Madryn.</w:t>
      </w:r>
      <w:r w:rsidDel="00000000" w:rsidR="00000000" w:rsidRPr="00000000">
        <w:rPr>
          <w:rtl w:val="0"/>
        </w:rPr>
      </w:r>
    </w:p>
    <w:p w:rsidR="00000000" w:rsidDel="00000000" w:rsidP="00000000" w:rsidRDefault="00000000" w:rsidRPr="00000000" w14:paraId="00000033">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CASTELNUOVO, Renata (2020). Crecimiento, maduración y desarrollo. Documento de Cátedra. Psicología Educacional, Instituto Superior de Formación Docente 803, Puerto Madryn.</w:t>
      </w:r>
      <w:r w:rsidDel="00000000" w:rsidR="00000000" w:rsidRPr="00000000">
        <w:rPr>
          <w:rtl w:val="0"/>
        </w:rPr>
      </w:r>
    </w:p>
    <w:p w:rsidR="00000000" w:rsidDel="00000000" w:rsidP="00000000" w:rsidRDefault="00000000" w:rsidRPr="00000000" w14:paraId="00000034">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COLL, C. (1998). Psicología de la Educación. Edhasa. ISBN 8435069001,9788435069007</w:t>
      </w:r>
      <w:r w:rsidDel="00000000" w:rsidR="00000000" w:rsidRPr="00000000">
        <w:rPr>
          <w:rtl w:val="0"/>
        </w:rPr>
      </w:r>
    </w:p>
    <w:p w:rsidR="00000000" w:rsidDel="00000000" w:rsidP="00000000" w:rsidRDefault="00000000" w:rsidRPr="00000000" w14:paraId="00000035">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GRASSI, A. y </w:t>
      </w:r>
      <w:r w:rsidDel="00000000" w:rsidR="00000000" w:rsidRPr="00000000">
        <w:rPr>
          <w:rFonts w:ascii="Arial" w:cs="Arial" w:eastAsia="Arial" w:hAnsi="Arial"/>
          <w:sz w:val="22"/>
          <w:szCs w:val="22"/>
          <w:rtl w:val="0"/>
        </w:rPr>
        <w:t xml:space="preserve">CORDOVA</w:t>
      </w:r>
      <w:r w:rsidDel="00000000" w:rsidR="00000000" w:rsidRPr="00000000">
        <w:rPr>
          <w:rFonts w:ascii="Arial" w:cs="Arial" w:eastAsia="Arial" w:hAnsi="Arial"/>
          <w:sz w:val="22"/>
          <w:szCs w:val="22"/>
          <w:rtl w:val="0"/>
        </w:rPr>
        <w:t xml:space="preserve">, N. (2010). La primavera del significante en “Entre niños, adolescentes y relaciones parentales”. Pp 25-35.  Ed. Entreideas, Buenos Aires. </w:t>
      </w:r>
      <w:r w:rsidDel="00000000" w:rsidR="00000000" w:rsidRPr="00000000">
        <w:rPr>
          <w:rtl w:val="0"/>
        </w:rPr>
      </w:r>
    </w:p>
    <w:p w:rsidR="00000000" w:rsidDel="00000000" w:rsidP="00000000" w:rsidRDefault="00000000" w:rsidRPr="00000000" w14:paraId="00000036">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LELIWA, S, SCANGARELLO, I (2011). Psicología y Educación, Cap. 2,3,4,5 y 6). Edit. Brujas, Córdoba. </w:t>
      </w:r>
      <w:r w:rsidDel="00000000" w:rsidR="00000000" w:rsidRPr="00000000">
        <w:rPr>
          <w:rtl w:val="0"/>
        </w:rPr>
      </w:r>
    </w:p>
    <w:p w:rsidR="00000000" w:rsidDel="00000000" w:rsidP="00000000" w:rsidRDefault="00000000" w:rsidRPr="00000000" w14:paraId="00000037">
      <w:pPr>
        <w:widowControl w:val="0"/>
        <w:numPr>
          <w:ilvl w:val="0"/>
          <w:numId w:val="2"/>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WOOLFOLK, A. (1999). Psicología educativa. Cap. 7. Teorías Cognoscitivas, selección de Ap.. PRENTICE HALL, México. </w:t>
      </w:r>
      <w:r w:rsidDel="00000000" w:rsidR="00000000" w:rsidRPr="00000000">
        <w:rPr>
          <w:rtl w:val="0"/>
        </w:rPr>
      </w:r>
    </w:p>
    <w:p w:rsidR="00000000" w:rsidDel="00000000" w:rsidP="00000000" w:rsidRDefault="00000000" w:rsidRPr="00000000" w14:paraId="00000038">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Bibliografía Complementaria:</w:t>
      </w:r>
    </w:p>
    <w:p w:rsidR="00000000" w:rsidDel="00000000" w:rsidP="00000000" w:rsidRDefault="00000000" w:rsidRPr="00000000" w14:paraId="00000039">
      <w:pPr>
        <w:widowControl w:val="0"/>
        <w:numPr>
          <w:ilvl w:val="0"/>
          <w:numId w:val="7"/>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CAZDEN, C (1991). El discurso en el aula. Paidos, Barcelona.</w:t>
      </w:r>
      <w:r w:rsidDel="00000000" w:rsidR="00000000" w:rsidRPr="00000000">
        <w:rPr>
          <w:rtl w:val="0"/>
        </w:rPr>
      </w:r>
    </w:p>
    <w:p w:rsidR="00000000" w:rsidDel="00000000" w:rsidP="00000000" w:rsidRDefault="00000000" w:rsidRPr="00000000" w14:paraId="0000003A">
      <w:pPr>
        <w:widowControl w:val="0"/>
        <w:numPr>
          <w:ilvl w:val="0"/>
          <w:numId w:val="7"/>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CASULLO, M.M. (1991). Psicología para docentes. Guadalupe, Buenos Aires.</w:t>
      </w:r>
      <w:r w:rsidDel="00000000" w:rsidR="00000000" w:rsidRPr="00000000">
        <w:rPr>
          <w:rtl w:val="0"/>
        </w:rPr>
      </w:r>
    </w:p>
    <w:p w:rsidR="00000000" w:rsidDel="00000000" w:rsidP="00000000" w:rsidRDefault="00000000" w:rsidRPr="00000000" w14:paraId="0000003B">
      <w:pPr>
        <w:widowControl w:val="0"/>
        <w:numPr>
          <w:ilvl w:val="0"/>
          <w:numId w:val="7"/>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FREUD, S. (1996). “Esquema de Psicoanálisis”. En J. L. Etcheverry (Traduc.), Obras Completas: Sigmund Freud (Vol. 23, pp. 143-145; 150-154).Amorrortu, Buenos Aires.  (Trabajo original publicado 1939)</w:t>
      </w:r>
      <w:r w:rsidDel="00000000" w:rsidR="00000000" w:rsidRPr="00000000">
        <w:rPr>
          <w:rtl w:val="0"/>
        </w:rPr>
      </w:r>
    </w:p>
    <w:p w:rsidR="00000000" w:rsidDel="00000000" w:rsidP="00000000" w:rsidRDefault="00000000" w:rsidRPr="00000000" w14:paraId="0000003C">
      <w:pPr>
        <w:widowControl w:val="0"/>
        <w:numPr>
          <w:ilvl w:val="0"/>
          <w:numId w:val="7"/>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GARCIA ALLEN, J. (07/2003). La Terapia Cognitiva de Aaron Beck. En Psicología y Mente [Artículo]. Recuperado de: https://psicologiaymente.com/clinica/terapia-cognitiva-aaron-beck [23/05/2019].</w:t>
      </w:r>
      <w:r w:rsidDel="00000000" w:rsidR="00000000" w:rsidRPr="00000000">
        <w:rPr>
          <w:rtl w:val="0"/>
        </w:rPr>
      </w:r>
    </w:p>
    <w:p w:rsidR="00000000" w:rsidDel="00000000" w:rsidP="00000000" w:rsidRDefault="00000000" w:rsidRPr="00000000" w14:paraId="0000003D">
      <w:pPr>
        <w:widowControl w:val="0"/>
        <w:numPr>
          <w:ilvl w:val="0"/>
          <w:numId w:val="7"/>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GONZÁLEZ ZEPEDA, ADRIANA (2004). Aportaciones de la psicología conductual a la educación. Revista Electrónica Sinéctica, Número 25(número de la revista), 15-22. Instituto Tecnológico y de Estudios Superiores de Occidente Jalisco, México. Recuperado de Redalyc.Aportaciones de la psicología conductual a la educación.</w:t>
      </w:r>
      <w:r w:rsidDel="00000000" w:rsidR="00000000" w:rsidRPr="00000000">
        <w:rPr>
          <w:rtl w:val="0"/>
        </w:rPr>
      </w:r>
    </w:p>
    <w:p w:rsidR="00000000" w:rsidDel="00000000" w:rsidP="00000000" w:rsidRDefault="00000000" w:rsidRPr="00000000" w14:paraId="0000003E">
      <w:pPr>
        <w:widowControl w:val="0"/>
        <w:numPr>
          <w:ilvl w:val="0"/>
          <w:numId w:val="7"/>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PIAGET, J. (1973). Estudios de psicología genética. Emece Editores, Buenos Aires.</w:t>
      </w:r>
      <w:r w:rsidDel="00000000" w:rsidR="00000000" w:rsidRPr="00000000">
        <w:rPr>
          <w:rtl w:val="0"/>
        </w:rPr>
      </w:r>
    </w:p>
    <w:p w:rsidR="00000000" w:rsidDel="00000000" w:rsidP="00000000" w:rsidRDefault="00000000" w:rsidRPr="00000000" w14:paraId="0000003F">
      <w:pPr>
        <w:widowControl w:val="0"/>
        <w:numPr>
          <w:ilvl w:val="0"/>
          <w:numId w:val="7"/>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WOOLFOLK, A. (1999). Psicología educativa. Cap. 1 “Maestros, la enseñanza y la Psicología Educacional”, selección de Ap.. PRENTICE HALL, México. </w:t>
      </w:r>
      <w:r w:rsidDel="00000000" w:rsidR="00000000" w:rsidRPr="00000000">
        <w:rPr>
          <w:rtl w:val="0"/>
        </w:rPr>
      </w:r>
    </w:p>
    <w:p w:rsidR="00000000" w:rsidDel="00000000" w:rsidP="00000000" w:rsidRDefault="00000000" w:rsidRPr="00000000" w14:paraId="00000040">
      <w:pPr>
        <w:widowControl w:val="0"/>
        <w:spacing w:line="360" w:lineRule="auto"/>
        <w:ind w:left="271" w:hanging="1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Eje 2: Aprendizaje y aprendizaje escolar.</w:t>
      </w:r>
      <w:r w:rsidDel="00000000" w:rsidR="00000000" w:rsidRPr="00000000">
        <w:rPr>
          <w:rFonts w:ascii="Arial" w:cs="Arial" w:eastAsia="Arial" w:hAnsi="Arial"/>
          <w:sz w:val="22"/>
          <w:szCs w:val="22"/>
          <w:rtl w:val="0"/>
        </w:rPr>
        <w:t xml:space="preserve"> Se aborda la constitución subjetiva, teniendo como base los aportes presentados en el Eje 1, y manifestando la importancia de los procesos de socialización primaria y secundaria desde Berger y Luckmann. Abordaje de la representación, fundamental en el modo de adaptación específicamente humano a la realidad. Características de la adolescencia, desarrollo psíquico, maduración, vínculos y duelo, nuevas instancias de socialización extrafamiliar. Se aborda la temática de las interacciones entre docente-estudiantes y entre pares, interacciones mediadas por el lenguaje. Finalmente, al entender el deseo como rasgo esencial de toda práctica, se aborda el deseo de aprender y el deseo de enseñar: objeto a. La noción de motivación, desde la pirámide de Maslow. Concluyendo con las nociones de conocimiento espontáneo y conocimiento escolar.</w:t>
      </w:r>
    </w:p>
    <w:p w:rsidR="00000000" w:rsidDel="00000000" w:rsidP="00000000" w:rsidRDefault="00000000" w:rsidRPr="00000000" w14:paraId="00000041">
      <w:pPr>
        <w:widowControl w:val="0"/>
        <w:numPr>
          <w:ilvl w:val="0"/>
          <w:numId w:val="6"/>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CASTELNUOVO, Renata (2022). Procesos de Socialización Primaria y Secundaria. Documento de Cátedra. Psicología Educacional, Instituto Superior de Formación Docente 803, Puerto Madryn.</w:t>
      </w:r>
      <w:r w:rsidDel="00000000" w:rsidR="00000000" w:rsidRPr="00000000">
        <w:rPr>
          <w:rtl w:val="0"/>
        </w:rPr>
      </w:r>
    </w:p>
    <w:p w:rsidR="00000000" w:rsidDel="00000000" w:rsidP="00000000" w:rsidRDefault="00000000" w:rsidRPr="00000000" w14:paraId="00000042">
      <w:pPr>
        <w:widowControl w:val="0"/>
        <w:numPr>
          <w:ilvl w:val="0"/>
          <w:numId w:val="6"/>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LELIWA, S, SCANGARELLO, I (2011). Psicología y Educación. Cap.2 Constitución del Sujeto Psíquico. Edit. Brujas, Córdoba.</w:t>
      </w:r>
      <w:r w:rsidDel="00000000" w:rsidR="00000000" w:rsidRPr="00000000">
        <w:rPr>
          <w:rtl w:val="0"/>
        </w:rPr>
      </w:r>
    </w:p>
    <w:p w:rsidR="00000000" w:rsidDel="00000000" w:rsidP="00000000" w:rsidRDefault="00000000" w:rsidRPr="00000000" w14:paraId="00000043">
      <w:pPr>
        <w:widowControl w:val="0"/>
        <w:numPr>
          <w:ilvl w:val="0"/>
          <w:numId w:val="6"/>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RODRIGO, M. J. (1997) "El hombre de la calle, el científico y el alumno: ¿un solo constructivismo o tres?". Novedades Educativas, vol. 76, pp. 59-61.</w:t>
      </w:r>
      <w:r w:rsidDel="00000000" w:rsidR="00000000" w:rsidRPr="00000000">
        <w:rPr>
          <w:rtl w:val="0"/>
        </w:rPr>
      </w:r>
    </w:p>
    <w:p w:rsidR="00000000" w:rsidDel="00000000" w:rsidP="00000000" w:rsidRDefault="00000000" w:rsidRPr="00000000" w14:paraId="00000044">
      <w:pPr>
        <w:widowControl w:val="0"/>
        <w:numPr>
          <w:ilvl w:val="0"/>
          <w:numId w:val="6"/>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TAPIA, J. A. (1997). Cap. 1. Un problema: ¿qué hacer para motivar a mis alumnos?, Cap. 2 Razones de los alumnos y alumnas para trabajar en clase. En “Motivar para el aprendizaje”. Edebé. España.   Capítulo 1 y 2</w:t>
      </w:r>
      <w:r w:rsidDel="00000000" w:rsidR="00000000" w:rsidRPr="00000000">
        <w:rPr>
          <w:rtl w:val="0"/>
        </w:rPr>
      </w:r>
    </w:p>
    <w:p w:rsidR="00000000" w:rsidDel="00000000" w:rsidP="00000000" w:rsidRDefault="00000000" w:rsidRPr="00000000" w14:paraId="00000045">
      <w:pPr>
        <w:widowControl w:val="0"/>
        <w:numPr>
          <w:ilvl w:val="0"/>
          <w:numId w:val="6"/>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BARREIRO, T. (2009). Los del Fondo (Capítulos 2, 4 y 6). Novedades Educativas.</w:t>
      </w:r>
      <w:r w:rsidDel="00000000" w:rsidR="00000000" w:rsidRPr="00000000">
        <w:rPr>
          <w:rtl w:val="0"/>
        </w:rPr>
      </w:r>
    </w:p>
    <w:p w:rsidR="00000000" w:rsidDel="00000000" w:rsidP="00000000" w:rsidRDefault="00000000" w:rsidRPr="00000000" w14:paraId="00000046">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Bibliografía Complementaria:</w:t>
      </w:r>
    </w:p>
    <w:p w:rsidR="00000000" w:rsidDel="00000000" w:rsidP="00000000" w:rsidRDefault="00000000" w:rsidRPr="00000000" w14:paraId="00000047">
      <w:pPr>
        <w:widowControl w:val="0"/>
        <w:numPr>
          <w:ilvl w:val="0"/>
          <w:numId w:val="5"/>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HUERTAS, J (1997). Motivaciòn, querer aprender. Aique Grupo Editor S.A.</w:t>
      </w:r>
      <w:r w:rsidDel="00000000" w:rsidR="00000000" w:rsidRPr="00000000">
        <w:rPr>
          <w:rtl w:val="0"/>
        </w:rPr>
      </w:r>
    </w:p>
    <w:p w:rsidR="00000000" w:rsidDel="00000000" w:rsidP="00000000" w:rsidRDefault="00000000" w:rsidRPr="00000000" w14:paraId="00000048">
      <w:pPr>
        <w:widowControl w:val="0"/>
        <w:numPr>
          <w:ilvl w:val="0"/>
          <w:numId w:val="5"/>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BERGER P. y T. LUCKMANN (1986): La construcción social de la realidad. Amorrortu, Buenos Aires.</w:t>
      </w:r>
      <w:r w:rsidDel="00000000" w:rsidR="00000000" w:rsidRPr="00000000">
        <w:rPr>
          <w:rtl w:val="0"/>
        </w:rPr>
      </w:r>
    </w:p>
    <w:p w:rsidR="00000000" w:rsidDel="00000000" w:rsidP="00000000" w:rsidRDefault="00000000" w:rsidRPr="00000000" w14:paraId="00000049">
      <w:pPr>
        <w:widowControl w:val="0"/>
        <w:numPr>
          <w:ilvl w:val="0"/>
          <w:numId w:val="5"/>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ABUSAMRA, CASAJÚS, FERRERES, RAITER, DE BENI &amp;, CORNOLDI (2011). Programa Leer para Comprender. Desarrollo de la comprensión de textos. Paidós, Buenos Aires</w:t>
      </w:r>
      <w:r w:rsidDel="00000000" w:rsidR="00000000" w:rsidRPr="00000000">
        <w:rPr>
          <w:rtl w:val="0"/>
        </w:rPr>
      </w:r>
    </w:p>
    <w:p w:rsidR="00000000" w:rsidDel="00000000" w:rsidP="00000000" w:rsidRDefault="00000000" w:rsidRPr="00000000" w14:paraId="0000004A">
      <w:pPr>
        <w:widowControl w:val="0"/>
        <w:spacing w:line="360" w:lineRule="auto"/>
        <w:ind w:left="271" w:hanging="1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Eje 3. Aprender en el aula, educación inclusiva</w:t>
      </w:r>
      <w:r w:rsidDel="00000000" w:rsidR="00000000" w:rsidRPr="00000000">
        <w:rPr>
          <w:rFonts w:ascii="Arial" w:cs="Arial" w:eastAsia="Arial" w:hAnsi="Arial"/>
          <w:sz w:val="22"/>
          <w:szCs w:val="22"/>
          <w:rtl w:val="0"/>
        </w:rPr>
        <w:t xml:space="preserve">. Aprender en el aula. Clima de la clase, vínculos, interacciones, relaciones de poder, autoridad. Dimensión Psicoafectiva. Infancias, adolescencias y adulteces en las escuelas. La educación inclusiva y los sujetos. Inclusión, ideal pansófico comeniano y homogeneización. Redistribución y reconocimiento. Inclusión y calidad. Inclusión e integración: concepciones acerca de lo diverso. Culturas, políticas y prácticas inclusivas. El fracaso escolar desde una perspectiva psicoeducativa situacional. Crítica al modelo patológico individual del fracaso escolar.  De las “necesidades educativas especiales” a la consideración de las “barreras para el aprendizaje y la participación”. Igualdad, diversidad y justicia. Prácticas inclusivas en el caso del trastorno del espectro autista (TEA). Autismo: Trastorno o condición. Discapacidad o neurodiversidad. Dificultades especificas del aprendizaje (dislexia, discalculia, disgrafia, otras).  Estrategias de intervención educativa. Confianza y eliminación de etiquetas en el desarrollo de la práctica educativa.</w:t>
      </w:r>
    </w:p>
    <w:p w:rsidR="00000000" w:rsidDel="00000000" w:rsidP="00000000" w:rsidRDefault="00000000" w:rsidRPr="00000000" w14:paraId="0000004B">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Bibliografía Obligatoria:</w:t>
      </w:r>
    </w:p>
    <w:p w:rsidR="00000000" w:rsidDel="00000000" w:rsidP="00000000" w:rsidRDefault="00000000" w:rsidRPr="00000000" w14:paraId="0000004C">
      <w:pPr>
        <w:widowControl w:val="0"/>
        <w:numPr>
          <w:ilvl w:val="0"/>
          <w:numId w:val="3"/>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BARREIRO, T. (2009). Los del Fondo. Novedades Educativas.</w:t>
      </w:r>
      <w:r w:rsidDel="00000000" w:rsidR="00000000" w:rsidRPr="00000000">
        <w:rPr>
          <w:rtl w:val="0"/>
        </w:rPr>
      </w:r>
    </w:p>
    <w:p w:rsidR="00000000" w:rsidDel="00000000" w:rsidP="00000000" w:rsidRDefault="00000000" w:rsidRPr="00000000" w14:paraId="0000004D">
      <w:pPr>
        <w:widowControl w:val="0"/>
        <w:numPr>
          <w:ilvl w:val="0"/>
          <w:numId w:val="3"/>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BENASAYAG, M. &amp; SCHMIT, G. (2010). Ética y etiqueta. Cap. 6. En Las pasiones tristes. Sufrimiento psíquico y crisis social (pp. 77-97). Buenos Aires: Siglo XXI.</w:t>
      </w:r>
      <w:r w:rsidDel="00000000" w:rsidR="00000000" w:rsidRPr="00000000">
        <w:rPr>
          <w:rtl w:val="0"/>
        </w:rPr>
      </w:r>
    </w:p>
    <w:p w:rsidR="00000000" w:rsidDel="00000000" w:rsidP="00000000" w:rsidRDefault="00000000" w:rsidRPr="00000000" w14:paraId="0000004E">
      <w:pPr>
        <w:widowControl w:val="0"/>
        <w:numPr>
          <w:ilvl w:val="0"/>
          <w:numId w:val="3"/>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CADAVEIRA, M. (2019). Cap. 2. Autismos: otras formas de ver el mundo. En L. Bakker y J. Rubiales, Neuroeducación y diversidad. Herramientas para potenciar las diferentes maneras de aprender (pp. 21-34). Buenos Aires: Akadia.</w:t>
      </w:r>
      <w:r w:rsidDel="00000000" w:rsidR="00000000" w:rsidRPr="00000000">
        <w:rPr>
          <w:rtl w:val="0"/>
        </w:rPr>
      </w:r>
    </w:p>
    <w:p w:rsidR="00000000" w:rsidDel="00000000" w:rsidP="00000000" w:rsidRDefault="00000000" w:rsidRPr="00000000" w14:paraId="0000004F">
      <w:pPr>
        <w:widowControl w:val="0"/>
        <w:numPr>
          <w:ilvl w:val="0"/>
          <w:numId w:val="3"/>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CORNU, L. (1999) La confianza en las relaciones pedagógicas. En G. Frigerio; M. Poggi; D. Korinfeld (comps) Construyendo un saber sobre el interior de la escuela (pp. 19-26). Buenos Aires: CEM-Novedades Educativas</w:t>
      </w:r>
      <w:r w:rsidDel="00000000" w:rsidR="00000000" w:rsidRPr="00000000">
        <w:rPr>
          <w:rtl w:val="0"/>
        </w:rPr>
      </w:r>
    </w:p>
    <w:p w:rsidR="00000000" w:rsidDel="00000000" w:rsidP="00000000" w:rsidRDefault="00000000" w:rsidRPr="00000000" w14:paraId="00000050">
      <w:pPr>
        <w:widowControl w:val="0"/>
        <w:numPr>
          <w:ilvl w:val="0"/>
          <w:numId w:val="3"/>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GLAZ, C. (2017). Problemáticas en el aprendizaje de jóvenes y adultos, en De aquí y de allá Experiencias en escenarios educativos interpeladas desde la perspectiva sociocultural. Compilado y editado por Cristina Erausquin – 1a ed. PsiDispa, CABA.</w:t>
      </w:r>
      <w:r w:rsidDel="00000000" w:rsidR="00000000" w:rsidRPr="00000000">
        <w:rPr>
          <w:rtl w:val="0"/>
        </w:rPr>
      </w:r>
    </w:p>
    <w:p w:rsidR="00000000" w:rsidDel="00000000" w:rsidP="00000000" w:rsidRDefault="00000000" w:rsidRPr="00000000" w14:paraId="00000051">
      <w:pPr>
        <w:widowControl w:val="0"/>
        <w:numPr>
          <w:ilvl w:val="0"/>
          <w:numId w:val="3"/>
        </w:numPr>
        <w:spacing w:line="360" w:lineRule="auto"/>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MINISTERIO DE EDUCACIÓN, CULTURA, CIENCIA Y TECNOLOGÍA (2019). Educación Inclusiva: fundamentos y prácticas para la inclusión. La Ed. Ministerio de educación, Cultura, Ciencia y Tecnología. CABA. ISNB 978-987-47076-5-9</w:t>
      </w:r>
      <w:r w:rsidDel="00000000" w:rsidR="00000000" w:rsidRPr="00000000">
        <w:rPr>
          <w:rtl w:val="0"/>
        </w:rPr>
      </w:r>
    </w:p>
    <w:p w:rsidR="00000000" w:rsidDel="00000000" w:rsidP="00000000" w:rsidRDefault="00000000" w:rsidRPr="00000000" w14:paraId="00000052">
      <w:pPr>
        <w:widowControl w:val="0"/>
        <w:numPr>
          <w:ilvl w:val="0"/>
          <w:numId w:val="3"/>
        </w:numPr>
        <w:spacing w:line="360" w:lineRule="auto"/>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MINISTERIO DE EDUCACIÓN, CULTURA, CIENCIA Y TECNOLOGÍA (2019). Eliminando barreras para el aprendizaje y la participación en alumnos con dificultades específicas del aprendizaje (DEA). La Ed. Ministerio de educación, Cultura, Ciencia y Tecnología. CABA. ISNB 978-987-47076-6-6</w:t>
      </w:r>
      <w:r w:rsidDel="00000000" w:rsidR="00000000" w:rsidRPr="00000000">
        <w:rPr>
          <w:rtl w:val="0"/>
        </w:rPr>
      </w:r>
    </w:p>
    <w:p w:rsidR="00000000" w:rsidDel="00000000" w:rsidP="00000000" w:rsidRDefault="00000000" w:rsidRPr="00000000" w14:paraId="00000053">
      <w:pPr>
        <w:widowControl w:val="0"/>
        <w:numPr>
          <w:ilvl w:val="0"/>
          <w:numId w:val="3"/>
        </w:numPr>
        <w:spacing w:line="360" w:lineRule="auto"/>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MINISTERIO DE EDUCACIÓN, CULTURA, CIENCIA Y TECNOLOGÍA (2019). Eliminando barreras para el aprendizaje y la participación en alumnos con trastorno del espectro autista (TEA). La Ed. Ministerio de educación, Cultura, Ciencia y Tecnología. CABA. ISNB 978-987-47076-8-0</w:t>
      </w:r>
      <w:r w:rsidDel="00000000" w:rsidR="00000000" w:rsidRPr="00000000">
        <w:rPr>
          <w:rtl w:val="0"/>
        </w:rPr>
      </w:r>
    </w:p>
    <w:p w:rsidR="00000000" w:rsidDel="00000000" w:rsidP="00000000" w:rsidRDefault="00000000" w:rsidRPr="00000000" w14:paraId="00000054">
      <w:pPr>
        <w:widowControl w:val="0"/>
        <w:numPr>
          <w:ilvl w:val="0"/>
          <w:numId w:val="3"/>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NARODOWSKI, M. (2008). La inclusión educativa. Reflexiones y propuestas entre las teorías, las demandas y los slogans. REICE, Revista Electrónica Iberoamericana sobre Calidad, Eficacia y Cambio en Educación, 6(2), 19-26.</w:t>
      </w:r>
      <w:r w:rsidDel="00000000" w:rsidR="00000000" w:rsidRPr="00000000">
        <w:rPr>
          <w:rtl w:val="0"/>
        </w:rPr>
      </w:r>
    </w:p>
    <w:p w:rsidR="00000000" w:rsidDel="00000000" w:rsidP="00000000" w:rsidRDefault="00000000" w:rsidRPr="00000000" w14:paraId="00000055">
      <w:pPr>
        <w:widowControl w:val="0"/>
        <w:numPr>
          <w:ilvl w:val="0"/>
          <w:numId w:val="3"/>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TERIGI, F. (2009). El fracaso escolar desde la perspectiva psicoeducativa: hacia una reconceptualización situacional. Revista Iberoamericana de Educación. N° 50, pp. 23-39. /13/</w:t>
      </w:r>
      <w:r w:rsidDel="00000000" w:rsidR="00000000" w:rsidRPr="00000000">
        <w:rPr>
          <w:rtl w:val="0"/>
        </w:rPr>
      </w:r>
    </w:p>
    <w:p w:rsidR="00000000" w:rsidDel="00000000" w:rsidP="00000000" w:rsidRDefault="00000000" w:rsidRPr="00000000" w14:paraId="00000056">
      <w:pPr>
        <w:widowControl w:val="0"/>
        <w:numPr>
          <w:ilvl w:val="0"/>
          <w:numId w:val="3"/>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VALDEZ, D. (2017). Cap. 6. Educación inclusiva. En J. A. Seda, La convención sobre los derechos de las personas con discapacidad (pp. 83-96). Buenos Aires: Eudeba.</w:t>
      </w:r>
      <w:r w:rsidDel="00000000" w:rsidR="00000000" w:rsidRPr="00000000">
        <w:rPr>
          <w:rtl w:val="0"/>
        </w:rPr>
      </w:r>
    </w:p>
    <w:p w:rsidR="00000000" w:rsidDel="00000000" w:rsidP="00000000" w:rsidRDefault="00000000" w:rsidRPr="00000000" w14:paraId="00000057">
      <w:pPr>
        <w:widowControl w:val="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Bibliografía Complementaria:</w:t>
      </w:r>
    </w:p>
    <w:p w:rsidR="00000000" w:rsidDel="00000000" w:rsidP="00000000" w:rsidRDefault="00000000" w:rsidRPr="00000000" w14:paraId="00000058">
      <w:pPr>
        <w:widowControl w:val="0"/>
        <w:numPr>
          <w:ilvl w:val="0"/>
          <w:numId w:val="1"/>
        </w:numPr>
        <w:ind w:left="720" w:hanging="360"/>
        <w:jc w:val="both"/>
        <w:rPr>
          <w:rFonts w:ascii="Noto Sans Symbols" w:cs="Noto Sans Symbols" w:eastAsia="Noto Sans Symbols" w:hAnsi="Noto Sans Symbols"/>
        </w:rPr>
      </w:pPr>
      <w:r w:rsidDel="00000000" w:rsidR="00000000" w:rsidRPr="00000000">
        <w:rPr>
          <w:rFonts w:ascii="Arial" w:cs="Arial" w:eastAsia="Arial" w:hAnsi="Arial"/>
          <w:sz w:val="22"/>
          <w:szCs w:val="22"/>
          <w:rtl w:val="0"/>
        </w:rPr>
        <w:t xml:space="preserve">DUSSEL I., SOUTHWELL Y OTROS. La autoridad en cuestión. En AAVV DOSSIER Monitor, Sumario N°20. Pp.25-40</w:t>
      </w:r>
      <w:r w:rsidDel="00000000" w:rsidR="00000000" w:rsidRPr="00000000">
        <w:rPr>
          <w:rtl w:val="0"/>
        </w:rPr>
      </w:r>
    </w:p>
    <w:p w:rsidR="00000000" w:rsidDel="00000000" w:rsidP="00000000" w:rsidRDefault="00000000" w:rsidRPr="00000000" w14:paraId="00000059">
      <w:pPr>
        <w:jc w:val="both"/>
        <w:rPr>
          <w:rFonts w:ascii="Arial" w:cs="Arial" w:eastAsia="Arial" w:hAnsi="Arial"/>
        </w:rPr>
      </w:pPr>
      <w:r w:rsidDel="00000000" w:rsidR="00000000" w:rsidRPr="00000000">
        <w:rPr>
          <w:rtl w:val="0"/>
        </w:rPr>
      </w:r>
    </w:p>
    <w:p w:rsidR="00000000" w:rsidDel="00000000" w:rsidP="00000000" w:rsidRDefault="00000000" w:rsidRPr="00000000" w14:paraId="0000005A">
      <w:pPr>
        <w:pBdr>
          <w:top w:color="000000" w:space="1" w:sz="4" w:val="single"/>
          <w:left w:color="000000" w:space="4" w:sz="4" w:val="single"/>
          <w:bottom w:color="000000" w:space="1" w:sz="4" w:val="single"/>
          <w:right w:color="000000" w:space="4" w:sz="4" w:val="single"/>
        </w:pBdr>
        <w:shd w:fill="0d0d0d" w:val="clear"/>
        <w:jc w:val="both"/>
        <w:rPr>
          <w:rFonts w:ascii="Arial" w:cs="Arial" w:eastAsia="Arial" w:hAnsi="Arial"/>
          <w:b w:val="0"/>
          <w:bCs w:val="0"/>
          <w:color w:val="ffffff"/>
          <w:vertAlign w:val="baseline"/>
        </w:rPr>
      </w:pPr>
      <w:r w:rsidDel="00000000" w:rsidR="00000000" w:rsidRPr="00000000">
        <w:rPr>
          <w:rFonts w:ascii="Arial" w:cs="Arial" w:eastAsia="Arial" w:hAnsi="Arial"/>
          <w:b w:val="1"/>
          <w:bCs w:val="1"/>
          <w:color w:val="ffffff"/>
          <w:vertAlign w:val="baseline"/>
          <w:rtl w:val="0"/>
        </w:rPr>
        <w:t xml:space="preserve">4. EVALUACIÓN – ACREDITACIÓN (CONDICIONES DE ALUMNO REGULAR Y LIBRE) </w:t>
      </w:r>
      <w:r w:rsidDel="00000000" w:rsidR="00000000" w:rsidRPr="00000000">
        <w:rPr>
          <w:rtl w:val="0"/>
        </w:rPr>
      </w:r>
    </w:p>
    <w:p w:rsidR="00000000" w:rsidDel="00000000" w:rsidP="00000000" w:rsidRDefault="00000000" w:rsidRPr="00000000" w14:paraId="0000005B">
      <w:pPr>
        <w:pBdr>
          <w:top w:color="000000" w:space="1" w:sz="4" w:val="single"/>
          <w:left w:color="000000" w:space="4" w:sz="4" w:val="single"/>
          <w:bottom w:color="000000" w:space="1" w:sz="4" w:val="single"/>
          <w:right w:color="000000" w:space="4" w:sz="4" w:val="single"/>
        </w:pBdr>
        <w:shd w:fill="0d0d0d" w:val="clear"/>
        <w:jc w:val="both"/>
        <w:rPr>
          <w:rFonts w:ascii="Arial" w:cs="Arial" w:eastAsia="Arial" w:hAnsi="Arial"/>
          <w:b w:val="0"/>
          <w:bCs w:val="0"/>
          <w:color w:val="ffffff"/>
          <w:vertAlign w:val="baseline"/>
        </w:rPr>
      </w:pPr>
      <w:r w:rsidDel="00000000" w:rsidR="00000000" w:rsidRPr="00000000">
        <w:rPr>
          <w:rtl w:val="0"/>
        </w:rPr>
      </w:r>
    </w:p>
    <w:p w:rsidR="00000000" w:rsidDel="00000000" w:rsidP="00000000" w:rsidRDefault="00000000" w:rsidRPr="00000000" w14:paraId="0000005C">
      <w:pPr>
        <w:widowControl w:val="0"/>
        <w:numPr>
          <w:ilvl w:val="0"/>
          <w:numId w:val="4"/>
        </w:numPr>
        <w:tabs>
          <w:tab w:val="left" w:leader="none" w:pos="1728"/>
        </w:tabs>
        <w:spacing w:after="120" w:before="120" w:lineRule="auto"/>
        <w:ind w:left="0" w:firstLine="0"/>
        <w:jc w:val="both"/>
        <w:rPr>
          <w:rFonts w:ascii="Arial" w:cs="Arial" w:eastAsia="Arial" w:hAnsi="Arial"/>
          <w:color w:val="000000"/>
          <w:vertAlign w:val="baseline"/>
        </w:rPr>
      </w:pPr>
      <w:r w:rsidDel="00000000" w:rsidR="00000000" w:rsidRPr="00000000">
        <w:rPr>
          <w:rtl w:val="0"/>
        </w:rPr>
      </w:r>
    </w:p>
    <w:p w:rsidR="00000000" w:rsidDel="00000000" w:rsidP="00000000" w:rsidRDefault="00000000" w:rsidRPr="00000000" w14:paraId="0000005D">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evaluación está diseñada como una parte del proceso de enseñanza y aprendizaje. Permite introducir durante los mismos, transformaciones que puedan ser necesarias para alcanzar los objetivos previstos. Por otra parte, posibilita al estudiantado reflexionar sobre los aprendizajes realizados, conociendo a través del intercambio aquellos contenidos que deberán afianzarse.</w:t>
      </w:r>
    </w:p>
    <w:p w:rsidR="00000000" w:rsidDel="00000000" w:rsidP="00000000" w:rsidRDefault="00000000" w:rsidRPr="00000000" w14:paraId="0000005E">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Los criterios tenidos en cuenta en el proceso de aprendizaje a la hora de evaluar: Responsabilidad; Compromiso activo en el proceso de aprendizaje; Voluntad de superación de las dificultades; Capacidad de trabajo conjunto para el logro de objetivos compartidos; Capacidad de análisis, reflexión y crítica.; Conocimiento de los contenidos y pertinencia en la terminología utilizada; Presentación en tiempo y forma de las producciones solicitadas; Coherencia y cohesión del lenguaje oral y escrito; Adecuación a las consignas, y; Capacidad creativa, originalidad.</w:t>
      </w:r>
    </w:p>
    <w:p w:rsidR="00000000" w:rsidDel="00000000" w:rsidP="00000000" w:rsidRDefault="00000000" w:rsidRPr="00000000" w14:paraId="0000005F">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cuanto al proceso de enseñanza, se plantean indagación y análisis respecto de: lo realizado y lo planificado. Reflexión sobre el grado de concreción de los objetivos planteados en la propuesta. En la misma, se tendrá en cuenta la congruencia entre lo programado para el desarrollo de la cursada y las intervenciones del/la docente como guía y motivador/a en el proceso. Es importante el registro de los recursos, estrategias y metodologías utilizadas (tiempos, espacios, tipos de agrupaciones utilizadas, instrumentos de evaluación, dinámicas áulicas, entre otros), y el efecto en los procesos de aprendizaje</w:t>
      </w:r>
    </w:p>
    <w:p w:rsidR="00000000" w:rsidDel="00000000" w:rsidP="00000000" w:rsidRDefault="00000000" w:rsidRPr="00000000" w14:paraId="00000060">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b w:val="1"/>
          <w:bCs w:val="1"/>
          <w:sz w:val="22"/>
          <w:szCs w:val="22"/>
          <w:u w:val="single"/>
          <w:rtl w:val="0"/>
        </w:rPr>
        <w:t xml:space="preserve">ACREDITACIÓN (CONDICIONES ALUMNO/A REGULAR Y LIBRE)</w:t>
      </w:r>
      <w:r w:rsidDel="00000000" w:rsidR="00000000" w:rsidRPr="00000000">
        <w:rPr>
          <w:rtl w:val="0"/>
        </w:rPr>
      </w:r>
    </w:p>
    <w:p w:rsidR="00000000" w:rsidDel="00000000" w:rsidP="00000000" w:rsidRDefault="00000000" w:rsidRPr="00000000" w14:paraId="00000061">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ALUMNOS/AS REGULARES</w:t>
      </w:r>
      <w:r w:rsidDel="00000000" w:rsidR="00000000" w:rsidRPr="00000000">
        <w:rPr>
          <w:rtl w:val="0"/>
        </w:rPr>
      </w:r>
    </w:p>
    <w:p w:rsidR="00000000" w:rsidDel="00000000" w:rsidP="00000000" w:rsidRDefault="00000000" w:rsidRPr="00000000" w14:paraId="00000062">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Aprobación con examen final:</w:t>
      </w:r>
      <w:r w:rsidDel="00000000" w:rsidR="00000000" w:rsidRPr="00000000">
        <w:rPr>
          <w:rtl w:val="0"/>
        </w:rPr>
      </w:r>
    </w:p>
    <w:p w:rsidR="00000000" w:rsidDel="00000000" w:rsidP="00000000" w:rsidRDefault="00000000" w:rsidRPr="00000000" w14:paraId="00000063">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Aprobar dos parciales con una nota de 4 a 6 puntos o sus correspondientes recuperatorios.</w:t>
      </w:r>
    </w:p>
    <w:p w:rsidR="00000000" w:rsidDel="00000000" w:rsidP="00000000" w:rsidRDefault="00000000" w:rsidRPr="00000000" w14:paraId="00000064">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Aprobar trabajos prácticos con una nota de 4 puntos o sus correspondientes recuperatorios.</w:t>
      </w:r>
    </w:p>
    <w:p w:rsidR="00000000" w:rsidDel="00000000" w:rsidP="00000000" w:rsidRDefault="00000000" w:rsidRPr="00000000" w14:paraId="00000065">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Cumplir con el 60 al 79% de asistencia.</w:t>
      </w:r>
    </w:p>
    <w:p w:rsidR="00000000" w:rsidDel="00000000" w:rsidP="00000000" w:rsidRDefault="00000000" w:rsidRPr="00000000" w14:paraId="00000066">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Promoción sin examen final:</w:t>
      </w:r>
      <w:r w:rsidDel="00000000" w:rsidR="00000000" w:rsidRPr="00000000">
        <w:rPr>
          <w:rtl w:val="0"/>
        </w:rPr>
      </w:r>
    </w:p>
    <w:p w:rsidR="00000000" w:rsidDel="00000000" w:rsidP="00000000" w:rsidRDefault="00000000" w:rsidRPr="00000000" w14:paraId="00000067">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Aprobar dos parciales con una nota de 7 o más.</w:t>
      </w:r>
    </w:p>
    <w:p w:rsidR="00000000" w:rsidDel="00000000" w:rsidP="00000000" w:rsidRDefault="00000000" w:rsidRPr="00000000" w14:paraId="00000068">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Aprobar los trabajos prácticos con una nota de 7 o más. </w:t>
      </w:r>
    </w:p>
    <w:p w:rsidR="00000000" w:rsidDel="00000000" w:rsidP="00000000" w:rsidRDefault="00000000" w:rsidRPr="00000000" w14:paraId="00000069">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Cumplir con un mínimo de 80% de asistencia.</w:t>
      </w:r>
    </w:p>
    <w:p w:rsidR="00000000" w:rsidDel="00000000" w:rsidP="00000000" w:rsidRDefault="00000000" w:rsidRPr="00000000" w14:paraId="0000006A">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 caso de que la nota de parcial o trabajo práctico sea entre 4 a 6 puntos, se podrá solicitar rendir la instancia recuperatoria, aspirando a promocionar. En la medida de efectuarse, la nota del recuperatorio ANULA la del trabajo práctico o parcial de la primera instancia (independientemente de cuál haya sido allí la nota).</w:t>
      </w:r>
    </w:p>
    <w:p w:rsidR="00000000" w:rsidDel="00000000" w:rsidP="00000000" w:rsidRDefault="00000000" w:rsidRPr="00000000" w14:paraId="0000006B">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Condiciones para la desaprobación:</w:t>
      </w:r>
    </w:p>
    <w:p w:rsidR="00000000" w:rsidDel="00000000" w:rsidP="00000000" w:rsidRDefault="00000000" w:rsidRPr="00000000" w14:paraId="0000006C">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Obtener una nota de 1 a 3 en cualquiera de las instancias de recuperatorio de parciales o trabajos prácticos.</w:t>
      </w:r>
    </w:p>
    <w:p w:rsidR="00000000" w:rsidDel="00000000" w:rsidP="00000000" w:rsidRDefault="00000000" w:rsidRPr="00000000" w14:paraId="0000006D">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Aquellos/as que desaprueben la asignatura, deberán recursar o rendir examen libre.</w:t>
      </w:r>
    </w:p>
    <w:p w:rsidR="00000000" w:rsidDel="00000000" w:rsidP="00000000" w:rsidRDefault="00000000" w:rsidRPr="00000000" w14:paraId="0000006E">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ALUMNOS/AS EN CONDICIÓN DE LIBRES</w:t>
      </w:r>
      <w:r w:rsidDel="00000000" w:rsidR="00000000" w:rsidRPr="00000000">
        <w:rPr>
          <w:rtl w:val="0"/>
        </w:rPr>
      </w:r>
    </w:p>
    <w:p w:rsidR="00000000" w:rsidDel="00000000" w:rsidP="00000000" w:rsidRDefault="00000000" w:rsidRPr="00000000" w14:paraId="0000006F">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Examen Libre:</w:t>
      </w:r>
    </w:p>
    <w:p w:rsidR="00000000" w:rsidDel="00000000" w:rsidP="00000000" w:rsidRDefault="00000000" w:rsidRPr="00000000" w14:paraId="00000070">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Deberá ponerse previamente en contacto con el docente vía mail para acordar encuentros personalizados a fin de orientar la bibliografía y las temáticas de cada eje del programa. Rendirá el mismo día en las fechas finales un examen escrito a desarrollar y un examen oral ante comisión evaluadora; deberán aprobar cada uno de ellos. Ambos incluyen todos los contenidos de la asignatura.</w:t>
      </w:r>
    </w:p>
    <w:p w:rsidR="00000000" w:rsidDel="00000000" w:rsidP="00000000" w:rsidRDefault="00000000" w:rsidRPr="00000000" w14:paraId="00000071">
      <w:pPr>
        <w:widowControl w:val="0"/>
        <w:numPr>
          <w:ilvl w:val="0"/>
          <w:numId w:val="4"/>
        </w:numPr>
        <w:tabs>
          <w:tab w:val="left" w:leader="none" w:pos="1728"/>
        </w:tabs>
        <w:spacing w:after="120" w:before="120" w:lineRule="auto"/>
        <w:ind w:left="432" w:hanging="432"/>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EXAMEN FINAL</w:t>
      </w:r>
      <w:r w:rsidDel="00000000" w:rsidR="00000000" w:rsidRPr="00000000">
        <w:rPr>
          <w:rtl w:val="0"/>
        </w:rPr>
      </w:r>
    </w:p>
    <w:p w:rsidR="00000000" w:rsidDel="00000000" w:rsidP="00000000" w:rsidRDefault="00000000" w:rsidRPr="00000000" w14:paraId="00000072">
      <w:pPr>
        <w:widowControl w:val="0"/>
        <w:numPr>
          <w:ilvl w:val="0"/>
          <w:numId w:val="4"/>
        </w:numPr>
        <w:tabs>
          <w:tab w:val="left" w:leader="none" w:pos="1728"/>
        </w:tabs>
        <w:spacing w:after="120" w:before="6" w:lineRule="auto"/>
        <w:ind w:left="432" w:hanging="432"/>
        <w:jc w:val="both"/>
        <w:rPr>
          <w:rFonts w:ascii="Arial" w:cs="Arial" w:eastAsia="Arial" w:hAnsi="Arial"/>
          <w:i w:val="1"/>
          <w:iCs w:val="1"/>
          <w:sz w:val="17"/>
          <w:szCs w:val="17"/>
        </w:rPr>
      </w:pPr>
      <w:r w:rsidDel="00000000" w:rsidR="00000000" w:rsidRPr="00000000">
        <w:rPr>
          <w:rFonts w:ascii="Arial" w:cs="Arial" w:eastAsia="Arial" w:hAnsi="Arial"/>
          <w:sz w:val="22"/>
          <w:szCs w:val="22"/>
          <w:rtl w:val="0"/>
        </w:rPr>
        <w:t xml:space="preserve">El examen final es individual, oral e implica todas las temáticas vistas a lo largo de la cursada. La nota mínima de aprobación es de 4 (cuatro).</w:t>
      </w:r>
      <w:r w:rsidDel="00000000" w:rsidR="00000000" w:rsidRPr="00000000">
        <w:rPr>
          <w:rtl w:val="0"/>
        </w:rPr>
      </w:r>
    </w:p>
    <w:p w:rsidR="00000000" w:rsidDel="00000000" w:rsidP="00000000" w:rsidRDefault="00000000" w:rsidRPr="00000000" w14:paraId="00000073">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4">
      <w:pPr>
        <w:jc w:val="both"/>
        <w:rPr>
          <w:rFonts w:ascii="Arial" w:cs="Arial" w:eastAsia="Arial" w:hAnsi="Arial"/>
          <w:vertAlign w:val="baseline"/>
        </w:rPr>
      </w:pPr>
      <w:bookmarkStart w:colFirst="0" w:colLast="0" w:name="_heading=h.30j0zll" w:id="1"/>
      <w:bookmarkEnd w:id="1"/>
      <w:r w:rsidDel="00000000" w:rsidR="00000000" w:rsidRPr="00000000">
        <w:rPr>
          <w:rtl w:val="0"/>
        </w:rPr>
      </w:r>
    </w:p>
    <w:p w:rsidR="00000000" w:rsidDel="00000000" w:rsidP="00000000" w:rsidRDefault="00000000" w:rsidRPr="00000000" w14:paraId="00000075">
      <w:pPr>
        <w:jc w:val="both"/>
        <w:rPr>
          <w:rFonts w:ascii="Arial" w:cs="Arial" w:eastAsia="Arial" w:hAnsi="Arial"/>
          <w:vertAlign w:val="baseline"/>
        </w:rPr>
      </w:pPr>
      <w:r w:rsidDel="00000000" w:rsidR="00000000" w:rsidRPr="00000000">
        <w:rPr>
          <w:rtl w:val="0"/>
        </w:rPr>
      </w:r>
    </w:p>
    <w:sectPr>
      <w:footerReference r:id="rId8" w:type="default"/>
      <w:pgSz w:h="16837" w:w="11905" w:orient="portrait"/>
      <w:pgMar w:bottom="1418" w:top="1418" w:left="1418" w:right="1418" w:header="72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mic Sans MS"/>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omic Sans MS" w:cs="Comic Sans MS" w:eastAsia="Comic Sans MS" w:hAnsi="Comic Sans MS"/>
        <w:b w:val="0"/>
        <w:bCs w:val="0"/>
        <w:i w:val="0"/>
        <w:iCs w:val="0"/>
        <w:smallCaps w:val="0"/>
        <w:strike w:val="0"/>
        <w:color w:val="000000"/>
        <w:sz w:val="20"/>
        <w:szCs w:val="20"/>
        <w:u w:val="none"/>
        <w:shd w:fill="auto" w:val="clear"/>
        <w:vertAlign w:val="baseline"/>
        <w:rtl w:val="0"/>
      </w:rPr>
      <w:tab/>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Título2">
    <w:name w:val="Título 2"/>
    <w:basedOn w:val="Normal"/>
    <w:next w:val="Normal"/>
    <w:autoRedefine w:val="0"/>
    <w:hidden w:val="0"/>
    <w:qFormat w:val="0"/>
    <w:pPr>
      <w:keepNext w:val="1"/>
      <w:numPr>
        <w:ilvl w:val="1"/>
        <w:numId w:val="1"/>
      </w:numPr>
      <w:suppressAutoHyphens w:val="0"/>
      <w:spacing w:line="1" w:lineRule="atLeast"/>
      <w:ind w:leftChars="-1" w:rightChars="0" w:firstLineChars="-1"/>
      <w:textDirection w:val="btLr"/>
      <w:textAlignment w:val="top"/>
      <w:outlineLvl w:val="1"/>
    </w:pPr>
    <w:rPr>
      <w:w w:val="100"/>
      <w:position w:val="-1"/>
      <w:sz w:val="24"/>
      <w:effect w:val="none"/>
      <w:vertAlign w:val="baseline"/>
      <w:cs w:val="0"/>
      <w:em w:val="none"/>
      <w:lang w:bidi="ar-SA" w:eastAsia="ar-SA" w:val="es-MX"/>
    </w:rPr>
  </w:style>
  <w:style w:type="paragraph" w:styleId="Título3">
    <w:name w:val="Título 3"/>
    <w:basedOn w:val="Normal"/>
    <w:next w:val="Normal"/>
    <w:autoRedefine w:val="0"/>
    <w:hidden w:val="0"/>
    <w:qFormat w:val="0"/>
    <w:pPr>
      <w:keepNext w:val="1"/>
      <w:numPr>
        <w:ilvl w:val="2"/>
        <w:numId w:val="1"/>
      </w:numPr>
      <w:suppressAutoHyphens w:val="0"/>
      <w:spacing w:line="1" w:lineRule="atLeast"/>
      <w:ind w:leftChars="-1" w:rightChars="0" w:firstLineChars="-1"/>
      <w:textDirection w:val="btLr"/>
      <w:textAlignment w:val="top"/>
      <w:outlineLvl w:val="2"/>
    </w:pPr>
    <w:rPr>
      <w:rFonts w:ascii="Arial" w:eastAsia="Arial Unicode MS" w:hAnsi="Arial"/>
      <w:w w:val="100"/>
      <w:position w:val="-1"/>
      <w:effect w:val="none"/>
      <w:vertAlign w:val="baseline"/>
      <w:cs w:val="0"/>
      <w:em w:val="none"/>
      <w:lang w:bidi="ar-SA" w:eastAsia="ar-SA" w:val="es-ES"/>
    </w:rPr>
  </w:style>
  <w:style w:type="paragraph" w:styleId="Título4">
    <w:name w:val="Título 4"/>
    <w:basedOn w:val="Normal"/>
    <w:next w:val="Normal"/>
    <w:autoRedefine w:val="0"/>
    <w:hidden w:val="0"/>
    <w:qFormat w:val="0"/>
    <w:pPr>
      <w:keepNext w:val="1"/>
      <w:shd w:color="auto" w:fill="e6e6e6" w:val="clear"/>
      <w:suppressAutoHyphens w:val="1"/>
      <w:spacing w:after="227" w:before="227" w:line="1" w:lineRule="atLeast"/>
      <w:ind w:leftChars="-1" w:rightChars="0" w:firstLineChars="-1"/>
      <w:textDirection w:val="btLr"/>
      <w:textAlignment w:val="top"/>
      <w:outlineLvl w:val="3"/>
    </w:pPr>
    <w:rPr>
      <w:b w:val="1"/>
      <w:bCs w:val="1"/>
      <w:color w:val="00000a"/>
      <w:w w:val="100"/>
      <w:position w:val="-1"/>
      <w:sz w:val="30"/>
      <w:szCs w:val="24"/>
      <w:effect w:val="none"/>
      <w:vertAlign w:val="baseline"/>
      <w:cs w:val="0"/>
      <w:em w:val="none"/>
      <w:lang w:bidi="hi-IN" w:eastAsia="zh-CN" w:val="es-ES"/>
    </w:rPr>
  </w:style>
  <w:style w:type="character" w:styleId="Fuentedepárrafopredeter.">
    <w:name w:val="Fuente de párrafo predeter."/>
    <w:next w:val="Fuentedepárrafopredeter."/>
    <w:autoRedefine w:val="0"/>
    <w:hidden w:val="0"/>
    <w:qFormat w:val="0"/>
    <w:rPr>
      <w:w w:val="100"/>
      <w:position w:val="-1"/>
      <w:effect w:val="none"/>
      <w:vertAlign w:val="baseline"/>
      <w:cs w:val="0"/>
      <w:em w:val="none"/>
      <w:lang/>
    </w:rPr>
  </w:style>
  <w:style w:type="table" w:styleId="Tablanormal">
    <w:name w:val="Tabla normal"/>
    <w:next w:val="Tabla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normal"/>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0"/>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rFonts w:ascii="Wingdings" w:hAnsi="Wingdings"/>
      <w:w w:val="100"/>
      <w:position w:val="-1"/>
      <w:effect w:val="none"/>
      <w:vertAlign w:val="baseline"/>
      <w:cs w:val="0"/>
      <w:em w:val="none"/>
      <w:lang/>
    </w:rPr>
  </w:style>
  <w:style w:type="character" w:styleId="WW8Num2z0">
    <w:name w:val="WW8Num2z0"/>
    <w:next w:val="WW8Num2z0"/>
    <w:autoRedefine w:val="0"/>
    <w:hidden w:val="0"/>
    <w:qFormat w:val="0"/>
    <w:rPr>
      <w:rFonts w:ascii="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hAnsi="Courier New"/>
      <w:w w:val="100"/>
      <w:position w:val="-1"/>
      <w:effect w:val="none"/>
      <w:vertAlign w:val="baseline"/>
      <w:cs w:val="0"/>
      <w:em w:val="none"/>
      <w:lang/>
    </w:rPr>
  </w:style>
  <w:style w:type="character" w:styleId="WW8Num2z3">
    <w:name w:val="WW8Num2z3"/>
    <w:next w:val="WW8Num2z3"/>
    <w:autoRedefine w:val="0"/>
    <w:hidden w:val="0"/>
    <w:qFormat w:val="0"/>
    <w:rPr>
      <w:rFonts w:ascii="Symbol" w:hAnsi="Symbol"/>
      <w:w w:val="100"/>
      <w:position w:val="-1"/>
      <w:effect w:val="none"/>
      <w:vertAlign w:val="baseline"/>
      <w:cs w:val="0"/>
      <w:em w:val="none"/>
      <w:lang/>
    </w:rPr>
  </w:style>
  <w:style w:type="character" w:styleId="WW8Num4z0">
    <w:name w:val="WW8Num4z0"/>
    <w:next w:val="WW8Num4z0"/>
    <w:autoRedefine w:val="0"/>
    <w:hidden w:val="0"/>
    <w:qFormat w:val="0"/>
    <w:rPr>
      <w:rFonts w:ascii="Wingdings" w:hAnsi="Wingdings"/>
      <w:w w:val="100"/>
      <w:position w:val="-1"/>
      <w:sz w:val="24"/>
      <w:effect w:val="none"/>
      <w:vertAlign w:val="baseline"/>
      <w:cs w:val="0"/>
      <w:em w:val="none"/>
      <w:lang/>
    </w:rPr>
  </w:style>
  <w:style w:type="character" w:styleId="WW8Num5z0">
    <w:name w:val="WW8Num5z0"/>
    <w:next w:val="WW8Num5z0"/>
    <w:autoRedefine w:val="0"/>
    <w:hidden w:val="0"/>
    <w:qFormat w:val="0"/>
    <w:rPr>
      <w:b w:val="0"/>
      <w:w w:val="100"/>
      <w:position w:val="-1"/>
      <w:effect w:val="none"/>
      <w:vertAlign w:val="baseline"/>
      <w:cs w:val="0"/>
      <w:em w:val="none"/>
      <w:lang/>
    </w:rPr>
  </w:style>
  <w:style w:type="character" w:styleId="WW8Num6z0">
    <w:name w:val="WW8Num6z0"/>
    <w:next w:val="WW8Num6z0"/>
    <w:autoRedefine w:val="0"/>
    <w:hidden w:val="0"/>
    <w:qFormat w:val="0"/>
    <w:rPr>
      <w:rFonts w:ascii="Wingdings" w:hAnsi="Wingdings"/>
      <w:w w:val="100"/>
      <w:position w:val="-1"/>
      <w:effect w:val="none"/>
      <w:vertAlign w:val="baseline"/>
      <w:cs w:val="0"/>
      <w:em w:val="none"/>
      <w:lang/>
    </w:rPr>
  </w:style>
  <w:style w:type="character" w:styleId="WW8Num7z0">
    <w:name w:val="WW8Num7z0"/>
    <w:next w:val="WW8Num7z0"/>
    <w:autoRedefine w:val="0"/>
    <w:hidden w:val="0"/>
    <w:qFormat w:val="0"/>
    <w:rPr>
      <w:rFonts w:ascii="Times New Roman" w:cs="Times New Roman" w:hAnsi="Times New Roman"/>
      <w:w w:val="100"/>
      <w:position w:val="-1"/>
      <w:effect w:val="none"/>
      <w:vertAlign w:val="baseline"/>
      <w:cs w:val="0"/>
      <w:em w:val="none"/>
      <w:lang/>
    </w:rPr>
  </w:style>
  <w:style w:type="character" w:styleId="WW8Num9z0">
    <w:name w:val="WW8Num9z0"/>
    <w:next w:val="WW8Num9z0"/>
    <w:autoRedefine w:val="0"/>
    <w:hidden w:val="0"/>
    <w:qFormat w:val="0"/>
    <w:rPr>
      <w:rFonts w:ascii="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Wingdings" w:hAnsi="Wingdings"/>
      <w:w w:val="100"/>
      <w:position w:val="-1"/>
      <w:sz w:val="24"/>
      <w:effect w:val="none"/>
      <w:vertAlign w:val="baseline"/>
      <w:cs w:val="0"/>
      <w:em w:val="none"/>
      <w:lang/>
    </w:rPr>
  </w:style>
  <w:style w:type="character" w:styleId="WW8Num14z0">
    <w:name w:val="WW8Num14z0"/>
    <w:next w:val="WW8Num14z0"/>
    <w:autoRedefine w:val="0"/>
    <w:hidden w:val="0"/>
    <w:qFormat w:val="0"/>
    <w:rPr>
      <w:rFonts w:ascii="Comic Sans MS" w:hAnsi="Comic Sans MS"/>
      <w:w w:val="100"/>
      <w:position w:val="-1"/>
      <w:effect w:val="none"/>
      <w:vertAlign w:val="baseline"/>
      <w:cs w:val="0"/>
      <w:em w:val="none"/>
      <w:lang/>
    </w:rPr>
  </w:style>
  <w:style w:type="character" w:styleId="WW8Num15z0">
    <w:name w:val="WW8Num15z0"/>
    <w:next w:val="WW8Num15z0"/>
    <w:autoRedefine w:val="0"/>
    <w:hidden w:val="0"/>
    <w:qFormat w:val="0"/>
    <w:rPr>
      <w:rFonts w:ascii="Wingdings" w:hAnsi="Wingdings"/>
      <w:w w:val="100"/>
      <w:position w:val="-1"/>
      <w:sz w:val="24"/>
      <w:effect w:val="none"/>
      <w:vertAlign w:val="baseline"/>
      <w:cs w:val="0"/>
      <w:em w:val="none"/>
      <w:lang/>
    </w:rPr>
  </w:style>
  <w:style w:type="character" w:styleId="WW8Num17z0">
    <w:name w:val="WW8Num17z0"/>
    <w:next w:val="WW8Num17z0"/>
    <w:autoRedefine w:val="0"/>
    <w:hidden w:val="0"/>
    <w:qFormat w:val="0"/>
    <w:rPr>
      <w:rFonts w:ascii="Wingdings" w:hAnsi="Wingdings"/>
      <w:w w:val="100"/>
      <w:position w:val="-1"/>
      <w:effect w:val="none"/>
      <w:vertAlign w:val="baseline"/>
      <w:cs w:val="0"/>
      <w:em w:val="none"/>
      <w:lang/>
    </w:rPr>
  </w:style>
  <w:style w:type="character" w:styleId="WW8Num17z1">
    <w:name w:val="WW8Num17z1"/>
    <w:next w:val="WW8Num17z1"/>
    <w:autoRedefine w:val="0"/>
    <w:hidden w:val="0"/>
    <w:qFormat w:val="0"/>
    <w:rPr>
      <w:rFonts w:ascii="Symbol" w:hAnsi="Symbol"/>
      <w:w w:val="100"/>
      <w:position w:val="-1"/>
      <w:effect w:val="none"/>
      <w:vertAlign w:val="baseline"/>
      <w:cs w:val="0"/>
      <w:em w:val="none"/>
      <w:lang/>
    </w:rPr>
  </w:style>
  <w:style w:type="character" w:styleId="WW8Num17z4">
    <w:name w:val="WW8Num17z4"/>
    <w:next w:val="WW8Num17z4"/>
    <w:autoRedefine w:val="0"/>
    <w:hidden w:val="0"/>
    <w:qFormat w:val="0"/>
    <w:rPr>
      <w:rFonts w:ascii="Courier New" w:hAnsi="Courier New"/>
      <w:w w:val="100"/>
      <w:position w:val="-1"/>
      <w:effect w:val="none"/>
      <w:vertAlign w:val="baseline"/>
      <w:cs w:val="0"/>
      <w:em w:val="none"/>
      <w:lang/>
    </w:rPr>
  </w:style>
  <w:style w:type="character" w:styleId="WW8Num18z0">
    <w:name w:val="WW8Num18z0"/>
    <w:next w:val="WW8Num18z0"/>
    <w:autoRedefine w:val="0"/>
    <w:hidden w:val="0"/>
    <w:qFormat w:val="0"/>
    <w:rPr>
      <w:rFonts w:ascii="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Wingdings" w:hAnsi="Wingdings"/>
      <w:w w:val="100"/>
      <w:position w:val="-1"/>
      <w:effect w:val="none"/>
      <w:vertAlign w:val="baseline"/>
      <w:cs w:val="0"/>
      <w:em w:val="none"/>
      <w:lang/>
    </w:rPr>
  </w:style>
  <w:style w:type="character" w:styleId="WW8Num19z1">
    <w:name w:val="WW8Num19z1"/>
    <w:next w:val="WW8Num19z1"/>
    <w:autoRedefine w:val="0"/>
    <w:hidden w:val="0"/>
    <w:qFormat w:val="0"/>
    <w:rPr>
      <w:rFonts w:ascii="Courier New" w:hAnsi="Courier New"/>
      <w:w w:val="100"/>
      <w:position w:val="-1"/>
      <w:effect w:val="none"/>
      <w:vertAlign w:val="baseline"/>
      <w:cs w:val="0"/>
      <w:em w:val="none"/>
      <w:lang/>
    </w:rPr>
  </w:style>
  <w:style w:type="character" w:styleId="WW8Num19z3">
    <w:name w:val="WW8Num19z3"/>
    <w:next w:val="WW8Num19z3"/>
    <w:autoRedefine w:val="0"/>
    <w:hidden w:val="0"/>
    <w:qFormat w:val="0"/>
    <w:rPr>
      <w:rFonts w:ascii="Symbol" w:hAnsi="Symbol"/>
      <w:w w:val="100"/>
      <w:position w:val="-1"/>
      <w:effect w:val="none"/>
      <w:vertAlign w:val="baseline"/>
      <w:cs w:val="0"/>
      <w:em w:val="none"/>
      <w:lang/>
    </w:rPr>
  </w:style>
  <w:style w:type="character" w:styleId="WW8Num21z0">
    <w:name w:val="WW8Num21z0"/>
    <w:next w:val="WW8Num21z0"/>
    <w:autoRedefine w:val="0"/>
    <w:hidden w:val="0"/>
    <w:qFormat w:val="0"/>
    <w:rPr>
      <w:rFonts w:ascii="Wingdings" w:hAnsi="Wingdings"/>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3">
    <w:name w:val="WW8Num21z3"/>
    <w:next w:val="WW8Num21z3"/>
    <w:autoRedefine w:val="0"/>
    <w:hidden w:val="0"/>
    <w:qFormat w:val="0"/>
    <w:rPr>
      <w:rFonts w:ascii="Symbol" w:hAnsi="Symbol"/>
      <w:w w:val="100"/>
      <w:position w:val="-1"/>
      <w:effect w:val="none"/>
      <w:vertAlign w:val="baseline"/>
      <w:cs w:val="0"/>
      <w:em w:val="none"/>
      <w:lang/>
    </w:rPr>
  </w:style>
  <w:style w:type="character" w:styleId="WW8Num22z0">
    <w:name w:val="WW8Num22z0"/>
    <w:next w:val="WW8Num22z0"/>
    <w:autoRedefine w:val="0"/>
    <w:hidden w:val="0"/>
    <w:qFormat w:val="0"/>
    <w:rPr>
      <w:rFonts w:ascii="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Wingdings" w:hAnsi="Wingdings"/>
      <w:w w:val="100"/>
      <w:position w:val="-1"/>
      <w:effect w:val="none"/>
      <w:vertAlign w:val="baseline"/>
      <w:cs w:val="0"/>
      <w:em w:val="none"/>
      <w:lang/>
    </w:rPr>
  </w:style>
  <w:style w:type="character" w:styleId="WW8Num25z0">
    <w:name w:val="WW8Num25z0"/>
    <w:next w:val="WW8Num25z0"/>
    <w:autoRedefine w:val="0"/>
    <w:hidden w:val="0"/>
    <w:qFormat w:val="0"/>
    <w:rPr>
      <w:rFonts w:ascii="Wingdings" w:hAnsi="Wingdings"/>
      <w:w w:val="100"/>
      <w:position w:val="-1"/>
      <w:effect w:val="none"/>
      <w:vertAlign w:val="baseline"/>
      <w:cs w:val="0"/>
      <w:em w:val="none"/>
      <w:lang/>
    </w:rPr>
  </w:style>
  <w:style w:type="character" w:styleId="WW8Num25z1">
    <w:name w:val="WW8Num25z1"/>
    <w:next w:val="WW8Num25z1"/>
    <w:autoRedefine w:val="0"/>
    <w:hidden w:val="0"/>
    <w:qFormat w:val="0"/>
    <w:rPr>
      <w:rFonts w:ascii="Courier New" w:hAnsi="Courier New"/>
      <w:w w:val="100"/>
      <w:position w:val="-1"/>
      <w:effect w:val="none"/>
      <w:vertAlign w:val="baseline"/>
      <w:cs w:val="0"/>
      <w:em w:val="none"/>
      <w:lang/>
    </w:rPr>
  </w:style>
  <w:style w:type="character" w:styleId="WW8Num25z3">
    <w:name w:val="WW8Num25z3"/>
    <w:next w:val="WW8Num25z3"/>
    <w:autoRedefine w:val="0"/>
    <w:hidden w:val="0"/>
    <w:qFormat w:val="0"/>
    <w:rPr>
      <w:rFonts w:ascii="Symbol" w:hAnsi="Symbol"/>
      <w:w w:val="100"/>
      <w:position w:val="-1"/>
      <w:effect w:val="none"/>
      <w:vertAlign w:val="baseline"/>
      <w:cs w:val="0"/>
      <w:em w:val="none"/>
      <w:lang/>
    </w:rPr>
  </w:style>
  <w:style w:type="character" w:styleId="WW8Num26z0">
    <w:name w:val="WW8Num26z0"/>
    <w:next w:val="WW8Num26z0"/>
    <w:autoRedefine w:val="0"/>
    <w:hidden w:val="0"/>
    <w:qFormat w:val="0"/>
    <w:rPr>
      <w:rFonts w:ascii="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Symbol" w:hAnsi="Symbol"/>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hAnsi="Wingdings"/>
      <w:w w:val="100"/>
      <w:position w:val="-1"/>
      <w:effect w:val="none"/>
      <w:vertAlign w:val="baseline"/>
      <w:cs w:val="0"/>
      <w:em w:val="none"/>
      <w:lang/>
    </w:rPr>
  </w:style>
  <w:style w:type="character" w:styleId="WW8Num30z0">
    <w:name w:val="WW8Num30z0"/>
    <w:next w:val="WW8Num30z0"/>
    <w:autoRedefine w:val="0"/>
    <w:hidden w:val="0"/>
    <w:qFormat w:val="0"/>
    <w:rPr>
      <w:rFonts w:ascii="Wingdings" w:hAnsi="Wingdings"/>
      <w:w w:val="100"/>
      <w:position w:val="-1"/>
      <w:effect w:val="none"/>
      <w:vertAlign w:val="baseline"/>
      <w:cs w:val="0"/>
      <w:em w:val="none"/>
      <w:lang/>
    </w:rPr>
  </w:style>
  <w:style w:type="character" w:styleId="WW8Num30z1">
    <w:name w:val="WW8Num30z1"/>
    <w:next w:val="WW8Num30z1"/>
    <w:autoRedefine w:val="0"/>
    <w:hidden w:val="0"/>
    <w:qFormat w:val="0"/>
    <w:rPr>
      <w:rFonts w:ascii="Courier New" w:hAnsi="Courier New"/>
      <w:w w:val="100"/>
      <w:position w:val="-1"/>
      <w:effect w:val="none"/>
      <w:vertAlign w:val="baseline"/>
      <w:cs w:val="0"/>
      <w:em w:val="none"/>
      <w:lang/>
    </w:rPr>
  </w:style>
  <w:style w:type="character" w:styleId="WW8Num30z3">
    <w:name w:val="WW8Num30z3"/>
    <w:next w:val="WW8Num30z3"/>
    <w:autoRedefine w:val="0"/>
    <w:hidden w:val="0"/>
    <w:qFormat w:val="0"/>
    <w:rPr>
      <w:rFonts w:ascii="Symbol" w:hAnsi="Symbol"/>
      <w:w w:val="100"/>
      <w:position w:val="-1"/>
      <w:effect w:val="none"/>
      <w:vertAlign w:val="baseline"/>
      <w:cs w:val="0"/>
      <w:em w:val="none"/>
      <w:lang/>
    </w:rPr>
  </w:style>
  <w:style w:type="character" w:styleId="WW8Num31z0">
    <w:name w:val="WW8Num31z0"/>
    <w:next w:val="WW8Num31z0"/>
    <w:autoRedefine w:val="0"/>
    <w:hidden w:val="0"/>
    <w:qFormat w:val="0"/>
    <w:rPr>
      <w:rFonts w:ascii="Wingdings" w:hAnsi="Wingdings"/>
      <w:w w:val="100"/>
      <w:position w:val="-1"/>
      <w:effect w:val="none"/>
      <w:vertAlign w:val="baseline"/>
      <w:cs w:val="0"/>
      <w:em w:val="none"/>
      <w:lang/>
    </w:rPr>
  </w:style>
  <w:style w:type="character" w:styleId="WW8Num32z0">
    <w:name w:val="WW8Num32z0"/>
    <w:next w:val="WW8Num32z0"/>
    <w:autoRedefine w:val="0"/>
    <w:hidden w:val="0"/>
    <w:qFormat w:val="0"/>
    <w:rPr>
      <w:rFonts w:ascii="Symbol" w:hAnsi="Symbol"/>
      <w:w w:val="100"/>
      <w:position w:val="-1"/>
      <w:effect w:val="none"/>
      <w:vertAlign w:val="baseline"/>
      <w:cs w:val="0"/>
      <w:em w:val="none"/>
      <w:lang/>
    </w:rPr>
  </w:style>
  <w:style w:type="character" w:styleId="WW8Num32z1">
    <w:name w:val="WW8Num32z1"/>
    <w:next w:val="WW8Num32z1"/>
    <w:autoRedefine w:val="0"/>
    <w:hidden w:val="0"/>
    <w:qFormat w:val="0"/>
    <w:rPr>
      <w:rFonts w:ascii="Courier New" w:cs="Courier New" w:hAnsi="Courier New"/>
      <w:w w:val="100"/>
      <w:position w:val="-1"/>
      <w:effect w:val="none"/>
      <w:vertAlign w:val="baseline"/>
      <w:cs w:val="0"/>
      <w:em w:val="none"/>
      <w:lang/>
    </w:rPr>
  </w:style>
  <w:style w:type="character" w:styleId="WW8Num32z2">
    <w:name w:val="WW8Num32z2"/>
    <w:next w:val="WW8Num32z2"/>
    <w:autoRedefine w:val="0"/>
    <w:hidden w:val="0"/>
    <w:qFormat w:val="0"/>
    <w:rPr>
      <w:rFonts w:ascii="Wingdings" w:hAnsi="Wingdings"/>
      <w:w w:val="100"/>
      <w:position w:val="-1"/>
      <w:effect w:val="none"/>
      <w:vertAlign w:val="baseline"/>
      <w:cs w:val="0"/>
      <w:em w:val="none"/>
      <w:lang/>
    </w:rPr>
  </w:style>
  <w:style w:type="character" w:styleId="WW8Num33z0">
    <w:name w:val="WW8Num33z0"/>
    <w:next w:val="WW8Num33z0"/>
    <w:autoRedefine w:val="0"/>
    <w:hidden w:val="0"/>
    <w:qFormat w:val="0"/>
    <w:rPr>
      <w:rFonts w:ascii="Times New Roman" w:hAnsi="Times New Roman"/>
      <w:w w:val="100"/>
      <w:position w:val="-1"/>
      <w:effect w:val="none"/>
      <w:vertAlign w:val="baseline"/>
      <w:cs w:val="0"/>
      <w:em w:val="none"/>
      <w:lang/>
    </w:rPr>
  </w:style>
  <w:style w:type="character" w:styleId="WW8Num34z0">
    <w:name w:val="WW8Num34z0"/>
    <w:next w:val="WW8Num34z0"/>
    <w:autoRedefine w:val="0"/>
    <w:hidden w:val="0"/>
    <w:qFormat w:val="0"/>
    <w:rPr>
      <w:rFonts w:ascii="Wingdings" w:hAnsi="Wingdings"/>
      <w:w w:val="100"/>
      <w:position w:val="-1"/>
      <w:effect w:val="none"/>
      <w:vertAlign w:val="baseline"/>
      <w:cs w:val="0"/>
      <w:em w:val="none"/>
      <w:lang/>
    </w:rPr>
  </w:style>
  <w:style w:type="character" w:styleId="WW8Num34z1">
    <w:name w:val="WW8Num34z1"/>
    <w:next w:val="WW8Num34z1"/>
    <w:autoRedefine w:val="0"/>
    <w:hidden w:val="0"/>
    <w:qFormat w:val="0"/>
    <w:rPr>
      <w:rFonts w:ascii="Courier New" w:cs="Courier New" w:hAnsi="Courier New"/>
      <w:w w:val="100"/>
      <w:position w:val="-1"/>
      <w:effect w:val="none"/>
      <w:vertAlign w:val="baseline"/>
      <w:cs w:val="0"/>
      <w:em w:val="none"/>
      <w:lang/>
    </w:rPr>
  </w:style>
  <w:style w:type="character" w:styleId="WW8Num35z0">
    <w:name w:val="WW8Num35z0"/>
    <w:next w:val="WW8Num35z0"/>
    <w:autoRedefine w:val="0"/>
    <w:hidden w:val="0"/>
    <w:qFormat w:val="0"/>
    <w:rPr>
      <w:rFonts w:ascii="Wingdings" w:hAnsi="Wingdings"/>
      <w:w w:val="100"/>
      <w:position w:val="-1"/>
      <w:effect w:val="none"/>
      <w:vertAlign w:val="baseline"/>
      <w:cs w:val="0"/>
      <w:em w:val="none"/>
      <w:lang/>
    </w:rPr>
  </w:style>
  <w:style w:type="character" w:styleId="WW8Num35z1">
    <w:name w:val="WW8Num35z1"/>
    <w:next w:val="WW8Num35z1"/>
    <w:autoRedefine w:val="0"/>
    <w:hidden w:val="0"/>
    <w:qFormat w:val="0"/>
    <w:rPr>
      <w:rFonts w:ascii="Courier New" w:hAnsi="Courier New"/>
      <w:w w:val="100"/>
      <w:position w:val="-1"/>
      <w:effect w:val="none"/>
      <w:vertAlign w:val="baseline"/>
      <w:cs w:val="0"/>
      <w:em w:val="none"/>
      <w:lang/>
    </w:rPr>
  </w:style>
  <w:style w:type="character" w:styleId="WW8Num35z3">
    <w:name w:val="WW8Num35z3"/>
    <w:next w:val="WW8Num35z3"/>
    <w:autoRedefine w:val="0"/>
    <w:hidden w:val="0"/>
    <w:qFormat w:val="0"/>
    <w:rPr>
      <w:rFonts w:ascii="Symbol" w:hAnsi="Symbol"/>
      <w:w w:val="100"/>
      <w:position w:val="-1"/>
      <w:effect w:val="none"/>
      <w:vertAlign w:val="baseline"/>
      <w:cs w:val="0"/>
      <w:em w:val="none"/>
      <w:lang/>
    </w:rPr>
  </w:style>
  <w:style w:type="character" w:styleId="WW8Num36z0">
    <w:name w:val="WW8Num36z0"/>
    <w:next w:val="WW8Num36z0"/>
    <w:autoRedefine w:val="0"/>
    <w:hidden w:val="0"/>
    <w:qFormat w:val="0"/>
    <w:rPr>
      <w:rFonts w:ascii="Wingdings" w:hAnsi="Wingdings"/>
      <w:w w:val="100"/>
      <w:position w:val="-1"/>
      <w:effect w:val="none"/>
      <w:vertAlign w:val="baseline"/>
      <w:cs w:val="0"/>
      <w:em w:val="none"/>
      <w:lang/>
    </w:rPr>
  </w:style>
  <w:style w:type="character" w:styleId="WW8Num36z1">
    <w:name w:val="WW8Num36z1"/>
    <w:next w:val="WW8Num36z1"/>
    <w:autoRedefine w:val="0"/>
    <w:hidden w:val="0"/>
    <w:qFormat w:val="0"/>
    <w:rPr>
      <w:rFonts w:ascii="Courier New" w:hAnsi="Courier New"/>
      <w:w w:val="100"/>
      <w:position w:val="-1"/>
      <w:effect w:val="none"/>
      <w:vertAlign w:val="baseline"/>
      <w:cs w:val="0"/>
      <w:em w:val="none"/>
      <w:lang/>
    </w:rPr>
  </w:style>
  <w:style w:type="character" w:styleId="WW8Num36z3">
    <w:name w:val="WW8Num36z3"/>
    <w:next w:val="WW8Num36z3"/>
    <w:autoRedefine w:val="0"/>
    <w:hidden w:val="0"/>
    <w:qFormat w:val="0"/>
    <w:rPr>
      <w:rFonts w:ascii="Symbol" w:hAnsi="Symbol"/>
      <w:w w:val="100"/>
      <w:position w:val="-1"/>
      <w:effect w:val="none"/>
      <w:vertAlign w:val="baseline"/>
      <w:cs w:val="0"/>
      <w:em w:val="none"/>
      <w:lang/>
    </w:rPr>
  </w:style>
  <w:style w:type="character" w:styleId="WW8Num37z0">
    <w:name w:val="WW8Num37z0"/>
    <w:next w:val="WW8Num37z0"/>
    <w:autoRedefine w:val="0"/>
    <w:hidden w:val="0"/>
    <w:qFormat w:val="0"/>
    <w:rPr>
      <w:rFonts w:ascii="Symbol" w:hAnsi="Symbol"/>
      <w:w w:val="100"/>
      <w:position w:val="-1"/>
      <w:effect w:val="none"/>
      <w:vertAlign w:val="baseline"/>
      <w:cs w:val="0"/>
      <w:em w:val="none"/>
      <w:lang/>
    </w:rPr>
  </w:style>
  <w:style w:type="character" w:styleId="WW8Num37z1">
    <w:name w:val="WW8Num37z1"/>
    <w:next w:val="WW8Num37z1"/>
    <w:autoRedefine w:val="0"/>
    <w:hidden w:val="0"/>
    <w:qFormat w:val="0"/>
    <w:rPr>
      <w:rFonts w:ascii="Courier New" w:cs="Courier New" w:hAnsi="Courier New"/>
      <w:w w:val="100"/>
      <w:position w:val="-1"/>
      <w:effect w:val="none"/>
      <w:vertAlign w:val="baseline"/>
      <w:cs w:val="0"/>
      <w:em w:val="none"/>
      <w:lang/>
    </w:rPr>
  </w:style>
  <w:style w:type="character" w:styleId="WW8Num37z2">
    <w:name w:val="WW8Num37z2"/>
    <w:next w:val="WW8Num37z2"/>
    <w:autoRedefine w:val="0"/>
    <w:hidden w:val="0"/>
    <w:qFormat w:val="0"/>
    <w:rPr>
      <w:rFonts w:ascii="Wingdings" w:hAnsi="Wingdings"/>
      <w:w w:val="100"/>
      <w:position w:val="-1"/>
      <w:effect w:val="none"/>
      <w:vertAlign w:val="baseline"/>
      <w:cs w:val="0"/>
      <w:em w:val="none"/>
      <w:lang/>
    </w:rPr>
  </w:style>
  <w:style w:type="character" w:styleId="WW8Num38z0">
    <w:name w:val="WW8Num38z0"/>
    <w:next w:val="WW8Num38z0"/>
    <w:autoRedefine w:val="0"/>
    <w:hidden w:val="0"/>
    <w:qFormat w:val="0"/>
    <w:rPr>
      <w:rFonts w:ascii="Symbol" w:hAnsi="Symbol"/>
      <w:w w:val="100"/>
      <w:position w:val="-1"/>
      <w:effect w:val="none"/>
      <w:vertAlign w:val="baseline"/>
      <w:cs w:val="0"/>
      <w:em w:val="none"/>
      <w:lang/>
    </w:rPr>
  </w:style>
  <w:style w:type="character" w:styleId="WW8Num38z1">
    <w:name w:val="WW8Num38z1"/>
    <w:next w:val="WW8Num38z1"/>
    <w:autoRedefine w:val="0"/>
    <w:hidden w:val="0"/>
    <w:qFormat w:val="0"/>
    <w:rPr>
      <w:rFonts w:ascii="Courier New" w:cs="Courier New" w:hAnsi="Courier New"/>
      <w:w w:val="100"/>
      <w:position w:val="-1"/>
      <w:effect w:val="none"/>
      <w:vertAlign w:val="baseline"/>
      <w:cs w:val="0"/>
      <w:em w:val="none"/>
      <w:lang/>
    </w:rPr>
  </w:style>
  <w:style w:type="character" w:styleId="WW8Num38z2">
    <w:name w:val="WW8Num38z2"/>
    <w:next w:val="WW8Num38z2"/>
    <w:autoRedefine w:val="0"/>
    <w:hidden w:val="0"/>
    <w:qFormat w:val="0"/>
    <w:rPr>
      <w:rFonts w:ascii="Wingdings" w:hAnsi="Wingdings"/>
      <w:w w:val="100"/>
      <w:position w:val="-1"/>
      <w:effect w:val="none"/>
      <w:vertAlign w:val="baseline"/>
      <w:cs w:val="0"/>
      <w:em w:val="none"/>
      <w:lang/>
    </w:rPr>
  </w:style>
  <w:style w:type="character" w:styleId="WW8Num39z0">
    <w:name w:val="WW8Num39z0"/>
    <w:next w:val="WW8Num39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40z0">
    <w:name w:val="WW8Num40z0"/>
    <w:next w:val="WW8Num40z0"/>
    <w:autoRedefine w:val="0"/>
    <w:hidden w:val="0"/>
    <w:qFormat w:val="0"/>
    <w:rPr>
      <w:rFonts w:ascii="Times New Roman" w:cs="Times New Roman" w:hAnsi="Times New Roman"/>
      <w:w w:val="100"/>
      <w:position w:val="-1"/>
      <w:effect w:val="none"/>
      <w:vertAlign w:val="baseline"/>
      <w:cs w:val="0"/>
      <w:em w:val="none"/>
      <w:lang/>
    </w:rPr>
  </w:style>
  <w:style w:type="character" w:styleId="WW8Num41z0">
    <w:name w:val="WW8Num41z0"/>
    <w:next w:val="WW8Num41z0"/>
    <w:autoRedefine w:val="0"/>
    <w:hidden w:val="0"/>
    <w:qFormat w:val="0"/>
    <w:rPr>
      <w:rFonts w:ascii="Wingdings" w:hAnsi="Wingdings"/>
      <w:w w:val="100"/>
      <w:position w:val="-1"/>
      <w:effect w:val="none"/>
      <w:vertAlign w:val="baseline"/>
      <w:cs w:val="0"/>
      <w:em w:val="none"/>
      <w:lang/>
    </w:rPr>
  </w:style>
  <w:style w:type="character" w:styleId="WW8Num42z0">
    <w:name w:val="WW8Num42z0"/>
    <w:next w:val="WW8Num42z0"/>
    <w:autoRedefine w:val="0"/>
    <w:hidden w:val="0"/>
    <w:qFormat w:val="0"/>
    <w:rPr>
      <w:rFonts w:ascii="Wingdings" w:hAnsi="Wingdings"/>
      <w:w w:val="100"/>
      <w:position w:val="-1"/>
      <w:effect w:val="none"/>
      <w:vertAlign w:val="baseline"/>
      <w:cs w:val="0"/>
      <w:em w:val="none"/>
      <w:lang/>
    </w:rPr>
  </w:style>
  <w:style w:type="character" w:styleId="WW8Num43z0">
    <w:name w:val="WW8Num43z0"/>
    <w:next w:val="WW8Num43z0"/>
    <w:autoRedefine w:val="0"/>
    <w:hidden w:val="0"/>
    <w:qFormat w:val="0"/>
    <w:rPr>
      <w:rFonts w:ascii="Wingdings" w:hAnsi="Wingdings"/>
      <w:w w:val="100"/>
      <w:position w:val="-1"/>
      <w:effect w:val="none"/>
      <w:vertAlign w:val="baseline"/>
      <w:cs w:val="0"/>
      <w:em w:val="none"/>
      <w:lang/>
    </w:rPr>
  </w:style>
  <w:style w:type="character" w:styleId="WW8Num44z0">
    <w:name w:val="WW8Num44z0"/>
    <w:next w:val="WW8Num44z0"/>
    <w:autoRedefine w:val="0"/>
    <w:hidden w:val="0"/>
    <w:qFormat w:val="0"/>
    <w:rPr>
      <w:rFonts w:ascii="Wingdings" w:hAnsi="Wingdings"/>
      <w:b w:val="0"/>
      <w:i w:val="0"/>
      <w:w w:val="100"/>
      <w:position w:val="-1"/>
      <w:sz w:val="24"/>
      <w:effect w:val="none"/>
      <w:vertAlign w:val="baseline"/>
      <w:cs w:val="0"/>
      <w:em w:val="none"/>
      <w:lang/>
    </w:rPr>
  </w:style>
  <w:style w:type="character" w:styleId="Fuentedepárrafopredeter.1">
    <w:name w:val="Fuente de párrafo predeter.1"/>
    <w:next w:val="Fuentedepárrafopredeter.1"/>
    <w:autoRedefine w:val="0"/>
    <w:hidden w:val="0"/>
    <w:qFormat w:val="0"/>
    <w:rPr>
      <w:w w:val="100"/>
      <w:position w:val="-1"/>
      <w:effect w:val="none"/>
      <w:vertAlign w:val="baseline"/>
      <w:cs w:val="0"/>
      <w:em w:val="none"/>
      <w:lang/>
    </w:rPr>
  </w:style>
  <w:style w:type="character" w:styleId="Númerodepágina">
    <w:name w:val="Número de página"/>
    <w:basedOn w:val="Fuentedepárrafopredeter.1"/>
    <w:next w:val="Númerodepágina"/>
    <w:autoRedefine w:val="0"/>
    <w:hidden w:val="0"/>
    <w:qFormat w:val="0"/>
    <w:rPr>
      <w:w w:val="100"/>
      <w:position w:val="-1"/>
      <w:effect w:val="none"/>
      <w:vertAlign w:val="baseline"/>
      <w:cs w:val="0"/>
      <w:em w:val="none"/>
      <w:lang/>
    </w:rPr>
  </w:style>
  <w:style w:type="character" w:styleId="Hipervínculo">
    <w:name w:val="Hipervínculo"/>
    <w:next w:val="Hipervínculo"/>
    <w:autoRedefine w:val="0"/>
    <w:hidden w:val="0"/>
    <w:qFormat w:val="0"/>
    <w:rPr>
      <w:color w:val="0000ff"/>
      <w:w w:val="100"/>
      <w:position w:val="-1"/>
      <w:u w:val="single"/>
      <w:effect w:val="none"/>
      <w:vertAlign w:val="baseline"/>
      <w:cs w:val="0"/>
      <w:em w:val="none"/>
      <w:lang/>
    </w:rPr>
  </w:style>
  <w:style w:type="character" w:styleId="Símbolodenotaalpie">
    <w:name w:val="Símbolo de nota al pie"/>
    <w:next w:val="Símbolodenotaalpie"/>
    <w:autoRedefine w:val="0"/>
    <w:hidden w:val="0"/>
    <w:qFormat w:val="0"/>
    <w:rPr>
      <w:w w:val="100"/>
      <w:position w:val="-1"/>
      <w:effect w:val="none"/>
      <w:vertAlign w:val="superscript"/>
      <w:cs w:val="0"/>
      <w:em w:val="none"/>
      <w:lang/>
    </w:rPr>
  </w:style>
  <w:style w:type="character" w:styleId="MáquinadeescribirHTML">
    <w:name w:val="Máquina de escribir HTML"/>
    <w:next w:val="MáquinadeescribirHTML"/>
    <w:autoRedefine w:val="0"/>
    <w:hidden w:val="0"/>
    <w:qFormat w:val="0"/>
    <w:rPr>
      <w:rFonts w:ascii="Courier New" w:cs="Courier New" w:eastAsia="Courier New" w:hAnsi="Courier New"/>
      <w:w w:val="100"/>
      <w:position w:val="-1"/>
      <w:sz w:val="20"/>
      <w:szCs w:val="20"/>
      <w:effect w:val="none"/>
      <w:vertAlign w:val="baseline"/>
      <w:cs w:val="0"/>
      <w:em w:val="none"/>
      <w:lang/>
    </w:rPr>
  </w:style>
  <w:style w:type="paragraph" w:styleId="Encabezado1">
    <w:name w:val="Encabezado1"/>
    <w:basedOn w:val="Normal"/>
    <w:next w:val="Textoindependiente"/>
    <w:autoRedefine w:val="0"/>
    <w:hidden w:val="0"/>
    <w:qFormat w:val="0"/>
    <w:pPr>
      <w:keepNext w:val="1"/>
      <w:suppressAutoHyphens w:val="0"/>
      <w:spacing w:after="120" w:before="240" w:line="1" w:lineRule="atLeast"/>
      <w:ind w:leftChars="-1" w:rightChars="0" w:firstLineChars="-1"/>
      <w:textDirection w:val="btLr"/>
      <w:textAlignment w:val="top"/>
      <w:outlineLvl w:val="0"/>
    </w:pPr>
    <w:rPr>
      <w:rFonts w:ascii="Helvetica" w:cs="Lucidasans" w:eastAsia="HG Mincho Light J" w:hAnsi="Helvetica"/>
      <w:w w:val="100"/>
      <w:position w:val="-1"/>
      <w:sz w:val="28"/>
      <w:szCs w:val="28"/>
      <w:effect w:val="none"/>
      <w:vertAlign w:val="baseline"/>
      <w:cs w:val="0"/>
      <w:em w:val="none"/>
      <w:lang w:bidi="ar-SA" w:eastAsia="ar-SA" w:val="es-ES"/>
    </w:rPr>
  </w:style>
  <w:style w:type="paragraph" w:styleId="Textoindependiente">
    <w:name w:val="Texto independiente"/>
    <w:basedOn w:val="Normal"/>
    <w:next w:val="Textoindependiente"/>
    <w:autoRedefine w:val="0"/>
    <w:hidden w:val="0"/>
    <w:qFormat w:val="0"/>
    <w:pPr>
      <w:suppressAutoHyphens w:val="0"/>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ar-SA" w:val="es-ES"/>
    </w:rPr>
  </w:style>
  <w:style w:type="paragraph" w:styleId="Lista">
    <w:name w:val="Lista"/>
    <w:basedOn w:val="Textoindependiente"/>
    <w:next w:val="Lista"/>
    <w:autoRedefine w:val="0"/>
    <w:hidden w:val="0"/>
    <w:qFormat w:val="0"/>
    <w:pPr>
      <w:suppressAutoHyphens w:val="0"/>
      <w:spacing w:line="1" w:lineRule="atLeast"/>
      <w:ind w:leftChars="-1" w:rightChars="0" w:firstLineChars="-1"/>
      <w:textDirection w:val="btLr"/>
      <w:textAlignment w:val="top"/>
      <w:outlineLvl w:val="0"/>
    </w:pPr>
    <w:rPr>
      <w:rFonts w:ascii="Times" w:cs="Lucidasans" w:hAnsi="Times"/>
      <w:w w:val="100"/>
      <w:position w:val="-1"/>
      <w:sz w:val="24"/>
      <w:effect w:val="none"/>
      <w:vertAlign w:val="baseline"/>
      <w:cs w:val="0"/>
      <w:em w:val="none"/>
      <w:lang w:bidi="ar-SA" w:eastAsia="ar-SA" w:val="es-ES"/>
    </w:rPr>
  </w:style>
  <w:style w:type="paragraph" w:styleId="Etiqueta">
    <w:name w:val="Etiqueta"/>
    <w:basedOn w:val="Normal"/>
    <w:next w:val="Etiqueta"/>
    <w:autoRedefine w:val="0"/>
    <w:hidden w:val="0"/>
    <w:qFormat w:val="0"/>
    <w:pPr>
      <w:suppressLineNumbers w:val="1"/>
      <w:suppressAutoHyphens w:val="0"/>
      <w:spacing w:after="120" w:before="120" w:line="1" w:lineRule="atLeast"/>
      <w:ind w:leftChars="-1" w:rightChars="0" w:firstLineChars="-1"/>
      <w:textDirection w:val="btLr"/>
      <w:textAlignment w:val="top"/>
      <w:outlineLvl w:val="0"/>
    </w:pPr>
    <w:rPr>
      <w:rFonts w:ascii="Times" w:cs="Lucidasans" w:hAnsi="Times"/>
      <w:i w:val="1"/>
      <w:iCs w:val="1"/>
      <w:w w:val="100"/>
      <w:position w:val="-1"/>
      <w:sz w:val="24"/>
      <w:szCs w:val="24"/>
      <w:effect w:val="none"/>
      <w:vertAlign w:val="baseline"/>
      <w:cs w:val="0"/>
      <w:em w:val="none"/>
      <w:lang w:bidi="ar-SA" w:eastAsia="ar-SA" w:val="es-ES"/>
    </w:rPr>
  </w:style>
  <w:style w:type="paragraph" w:styleId="Índice">
    <w:name w:val="Índice"/>
    <w:basedOn w:val="Normal"/>
    <w:next w:val="Índice"/>
    <w:autoRedefine w:val="0"/>
    <w:hidden w:val="0"/>
    <w:qFormat w:val="0"/>
    <w:pPr>
      <w:suppressLineNumbers w:val="1"/>
      <w:suppressAutoHyphens w:val="0"/>
      <w:spacing w:line="1" w:lineRule="atLeast"/>
      <w:ind w:leftChars="-1" w:rightChars="0" w:firstLineChars="-1"/>
      <w:textDirection w:val="btLr"/>
      <w:textAlignment w:val="top"/>
      <w:outlineLvl w:val="0"/>
    </w:pPr>
    <w:rPr>
      <w:rFonts w:ascii="Times" w:cs="Lucidasans" w:hAnsi="Times"/>
      <w:w w:val="100"/>
      <w:position w:val="-1"/>
      <w:effect w:val="none"/>
      <w:vertAlign w:val="baseline"/>
      <w:cs w:val="0"/>
      <w:em w:val="none"/>
      <w:lang w:bidi="ar-SA" w:eastAsia="ar-SA" w:val="es-ES"/>
    </w:rPr>
  </w:style>
  <w:style w:type="paragraph" w:styleId="Sangríadetextonormal">
    <w:name w:val="Sangría de texto normal"/>
    <w:basedOn w:val="Normal"/>
    <w:next w:val="Sangríadetextonormal"/>
    <w:autoRedefine w:val="0"/>
    <w:hidden w:val="0"/>
    <w:qFormat w:val="0"/>
    <w:pPr>
      <w:suppressAutoHyphens w:val="0"/>
      <w:spacing w:line="1" w:lineRule="atLeast"/>
      <w:ind w:leftChars="-1" w:rightChars="0" w:firstLineChars="-1"/>
      <w:jc w:val="both"/>
      <w:textDirection w:val="btLr"/>
      <w:textAlignment w:val="top"/>
      <w:outlineLvl w:val="0"/>
    </w:pPr>
    <w:rPr>
      <w:b w:val="1"/>
      <w:w w:val="100"/>
      <w:position w:val="-1"/>
      <w:sz w:val="24"/>
      <w:effect w:val="none"/>
      <w:vertAlign w:val="baseline"/>
      <w:cs w:val="0"/>
      <w:em w:val="none"/>
      <w:lang w:bidi="ar-SA" w:eastAsia="ar-SA" w:val="es-MX"/>
    </w:rPr>
  </w:style>
  <w:style w:type="paragraph" w:styleId="Piedepágina">
    <w:name w:val="Pie de página"/>
    <w:basedOn w:val="Normal"/>
    <w:next w:val="Piedepágina"/>
    <w:autoRedefine w:val="0"/>
    <w:hidden w:val="0"/>
    <w:qFormat w:val="0"/>
    <w:pPr>
      <w:tabs>
        <w:tab w:val="center" w:leader="none" w:pos="4419"/>
        <w:tab w:val="right" w:leader="none" w:pos="8838"/>
      </w:tabs>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ar-SA" w:val="es-ES"/>
    </w:rPr>
  </w:style>
  <w:style w:type="paragraph" w:styleId="Encabezado">
    <w:name w:val="Encabezado"/>
    <w:basedOn w:val="Normal"/>
    <w:next w:val="Encabezado"/>
    <w:autoRedefine w:val="0"/>
    <w:hidden w:val="0"/>
    <w:qFormat w:val="0"/>
    <w:pPr>
      <w:tabs>
        <w:tab w:val="center" w:leader="none" w:pos="4252"/>
        <w:tab w:val="right" w:leader="none" w:pos="8504"/>
      </w:tabs>
      <w:suppressAutoHyphens w:val="0"/>
      <w:spacing w:line="1" w:lineRule="atLeast"/>
      <w:ind w:leftChars="-1" w:rightChars="0" w:firstLineChars="-1"/>
      <w:textDirection w:val="btLr"/>
      <w:textAlignment w:val="top"/>
      <w:outlineLvl w:val="0"/>
    </w:pPr>
    <w:rPr>
      <w:rFonts w:ascii="Verdana" w:hAnsi="Verdana"/>
      <w:w w:val="100"/>
      <w:position w:val="-1"/>
      <w:sz w:val="24"/>
      <w:effect w:val="none"/>
      <w:vertAlign w:val="baseline"/>
      <w:cs w:val="0"/>
      <w:em w:val="none"/>
      <w:lang w:bidi="ar-SA" w:eastAsia="ar-SA" w:val="es-ES"/>
    </w:rPr>
  </w:style>
  <w:style w:type="paragraph" w:styleId="Epígrafe1">
    <w:name w:val="Epígrafe1"/>
    <w:basedOn w:val="Normal"/>
    <w:next w:val="Normal"/>
    <w:autoRedefine w:val="0"/>
    <w:hidden w:val="0"/>
    <w:qFormat w:val="0"/>
    <w:pPr>
      <w:suppressAutoHyphens w:val="0"/>
      <w:spacing w:line="1" w:lineRule="atLeast"/>
      <w:ind w:leftChars="-1" w:rightChars="0" w:firstLineChars="-1"/>
      <w:jc w:val="right"/>
      <w:textDirection w:val="btLr"/>
      <w:textAlignment w:val="top"/>
      <w:outlineLvl w:val="0"/>
    </w:pPr>
    <w:rPr>
      <w:b w:val="1"/>
      <w:w w:val="100"/>
      <w:position w:val="-1"/>
      <w:sz w:val="26"/>
      <w:effect w:val="none"/>
      <w:vertAlign w:val="baseline"/>
      <w:cs w:val="0"/>
      <w:em w:val="none"/>
      <w:lang w:bidi="ar-SA" w:eastAsia="ar-SA" w:val="es-ES"/>
    </w:rPr>
  </w:style>
  <w:style w:type="paragraph" w:styleId="Mapadeldocumento1">
    <w:name w:val="Mapa del documento1"/>
    <w:basedOn w:val="Normal"/>
    <w:next w:val="Mapadeldocumento1"/>
    <w:autoRedefine w:val="0"/>
    <w:hidden w:val="0"/>
    <w:qFormat w:val="0"/>
    <w:pPr>
      <w:shd w:color="auto" w:fill="000080" w:val="clear"/>
      <w:suppressAutoHyphens w:val="0"/>
      <w:spacing w:line="1" w:lineRule="atLeast"/>
      <w:ind w:leftChars="-1" w:rightChars="0" w:firstLineChars="-1"/>
      <w:textDirection w:val="btLr"/>
      <w:textAlignment w:val="top"/>
      <w:outlineLvl w:val="0"/>
    </w:pPr>
    <w:rPr>
      <w:rFonts w:ascii="Tahoma" w:cs="Tahoma" w:hAnsi="Tahoma"/>
      <w:w w:val="100"/>
      <w:position w:val="-1"/>
      <w:effect w:val="none"/>
      <w:vertAlign w:val="baseline"/>
      <w:cs w:val="0"/>
      <w:em w:val="none"/>
      <w:lang w:bidi="ar-SA" w:eastAsia="ar-SA" w:val="es-ES"/>
    </w:rPr>
  </w:style>
  <w:style w:type="paragraph" w:styleId="Textodeglobo">
    <w:name w:val="Texto de globo"/>
    <w:basedOn w:val="Normal"/>
    <w:next w:val="Textodeglobo"/>
    <w:autoRedefine w:val="0"/>
    <w:hidden w:val="0"/>
    <w:qFormat w:val="0"/>
    <w:pPr>
      <w:suppressAutoHyphens w:val="0"/>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ar-SA" w:val="es-ES"/>
    </w:rPr>
  </w:style>
  <w:style w:type="paragraph" w:styleId="PlainText">
    <w:name w:val="Plain Text"/>
    <w:basedOn w:val="Normal"/>
    <w:next w:val="PlainText"/>
    <w:autoRedefine w:val="0"/>
    <w:hidden w:val="0"/>
    <w:qFormat w:val="0"/>
    <w:pPr>
      <w:suppressAutoHyphens w:val="0"/>
      <w:spacing w:line="1" w:lineRule="atLeast"/>
      <w:ind w:leftChars="-1" w:rightChars="0" w:firstLineChars="-1"/>
      <w:textDirection w:val="btLr"/>
      <w:textAlignment w:val="top"/>
      <w:outlineLvl w:val="0"/>
    </w:pPr>
    <w:rPr>
      <w:rFonts w:ascii="Courier New" w:hAnsi="Courier New"/>
      <w:w w:val="100"/>
      <w:position w:val="-1"/>
      <w:effect w:val="none"/>
      <w:vertAlign w:val="baseline"/>
      <w:cs w:val="0"/>
      <w:em w:val="none"/>
      <w:lang w:bidi="ar-SA" w:eastAsia="ar-SA" w:val="es-ES"/>
    </w:rPr>
  </w:style>
  <w:style w:type="paragraph" w:styleId="Textoindependiente21">
    <w:name w:val="Texto independiente 21"/>
    <w:basedOn w:val="Normal"/>
    <w:next w:val="Textoindependiente21"/>
    <w:autoRedefine w:val="0"/>
    <w:hidden w:val="0"/>
    <w:qFormat w:val="0"/>
    <w:pPr>
      <w:suppressAutoHyphens w:val="0"/>
      <w:spacing w:line="1" w:lineRule="atLeast"/>
      <w:ind w:leftChars="-1" w:rightChars="0" w:firstLineChars="-1"/>
      <w:jc w:val="both"/>
      <w:textDirection w:val="btLr"/>
      <w:textAlignment w:val="top"/>
      <w:outlineLvl w:val="0"/>
    </w:pPr>
    <w:rPr>
      <w:bCs w:val="1"/>
      <w:w w:val="100"/>
      <w:position w:val="-1"/>
      <w:sz w:val="24"/>
      <w:effect w:val="none"/>
      <w:vertAlign w:val="baseline"/>
      <w:cs w:val="0"/>
      <w:em w:val="none"/>
      <w:lang w:bidi="ar-SA" w:eastAsia="ar-SA" w:val="es-ES"/>
    </w:rPr>
  </w:style>
  <w:style w:type="paragraph" w:styleId="Textonotapie">
    <w:name w:val="Texto nota pie"/>
    <w:basedOn w:val="Normal"/>
    <w:next w:val="Textonotapie"/>
    <w:autoRedefine w:val="0"/>
    <w:hidden w:val="0"/>
    <w:qFormat w:val="0"/>
    <w:pPr>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ar-SA" w:val="es-AR"/>
    </w:rPr>
  </w:style>
  <w:style w:type="paragraph" w:styleId="BodyText2">
    <w:name w:val="Body Text 2"/>
    <w:basedOn w:val="Normal"/>
    <w:next w:val="BodyText2"/>
    <w:autoRedefine w:val="0"/>
    <w:hidden w:val="0"/>
    <w:qFormat w:val="0"/>
    <w:pPr>
      <w:suppressAutoHyphens w:val="0"/>
      <w:overflowPunct w:val="0"/>
      <w:autoSpaceDE w:val="0"/>
      <w:spacing w:line="1" w:lineRule="atLeast"/>
      <w:ind w:leftChars="-1" w:rightChars="0" w:firstLineChars="-1"/>
      <w:jc w:val="both"/>
      <w:textDirection w:val="btLr"/>
      <w:textAlignment w:val="baseline"/>
      <w:outlineLvl w:val="0"/>
    </w:pPr>
    <w:rPr>
      <w:rFonts w:ascii="AvantGarde Md BT" w:hAnsi="AvantGarde Md BT"/>
      <w:w w:val="100"/>
      <w:position w:val="-1"/>
      <w:sz w:val="24"/>
      <w:effect w:val="none"/>
      <w:vertAlign w:val="baseline"/>
      <w:cs w:val="0"/>
      <w:em w:val="none"/>
      <w:lang w:bidi="ar-SA" w:eastAsia="ar-SA" w:val="es-ES"/>
    </w:rPr>
  </w:style>
  <w:style w:type="paragraph" w:styleId="Sangría2det.independiente1">
    <w:name w:val="Sangría 2 de t. independiente1"/>
    <w:basedOn w:val="Normal"/>
    <w:next w:val="Sangría2det.independiente1"/>
    <w:autoRedefine w:val="0"/>
    <w:hidden w:val="0"/>
    <w:qFormat w:val="0"/>
    <w:pPr>
      <w:tabs>
        <w:tab w:val="left" w:leader="none" w:pos="-720"/>
      </w:tabs>
      <w:suppressAutoHyphens w:val="0"/>
      <w:spacing w:line="360" w:lineRule="auto"/>
      <w:ind w:left="360" w:right="0" w:leftChars="-1" w:rightChars="0" w:firstLine="0" w:firstLineChars="-1"/>
      <w:jc w:val="both"/>
      <w:textDirection w:val="btLr"/>
      <w:textAlignment w:val="top"/>
      <w:outlineLvl w:val="0"/>
    </w:pPr>
    <w:rPr>
      <w:rFonts w:ascii="Comic Sans MS" w:hAnsi="Comic Sans MS"/>
      <w:spacing w:val="-3"/>
      <w:w w:val="100"/>
      <w:position w:val="-1"/>
      <w:sz w:val="24"/>
      <w:szCs w:val="24"/>
      <w:effect w:val="none"/>
      <w:vertAlign w:val="baseline"/>
      <w:cs w:val="0"/>
      <w:em w:val="none"/>
      <w:lang w:bidi="ar-SA" w:eastAsia="ar-SA" w:val="es-ES"/>
    </w:rPr>
  </w:style>
  <w:style w:type="paragraph" w:styleId="Textoindependiente31">
    <w:name w:val="Texto independiente 31"/>
    <w:basedOn w:val="Normal"/>
    <w:next w:val="Textoindependiente31"/>
    <w:autoRedefine w:val="0"/>
    <w:hidden w:val="0"/>
    <w:qFormat w:val="0"/>
    <w:pPr>
      <w:suppressAutoHyphens w:val="0"/>
      <w:spacing w:after="120" w:before="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ar-SA" w:val="es-ES"/>
    </w:rPr>
  </w:style>
  <w:style w:type="paragraph" w:styleId="Contenidodelatabla">
    <w:name w:val="Contenido de la tabla"/>
    <w:basedOn w:val="Normal"/>
    <w:next w:val="Contenidodelatabla"/>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ar-SA" w:val="es-ES"/>
    </w:rPr>
  </w:style>
  <w:style w:type="paragraph" w:styleId="Encabezadodelatabla">
    <w:name w:val="Encabezado de la tabla"/>
    <w:basedOn w:val="Contenidodelatabla"/>
    <w:next w:val="Encabezadodelatabla"/>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effect w:val="none"/>
      <w:vertAlign w:val="baseline"/>
      <w:cs w:val="0"/>
      <w:em w:val="none"/>
      <w:lang w:bidi="ar-SA" w:eastAsia="ar-SA" w:val="es-ES"/>
    </w:rPr>
  </w:style>
  <w:style w:type="table" w:styleId="Tablaconcuadrícula">
    <w:name w:val="Tabla con cuadrícula"/>
    <w:basedOn w:val="Tablanormal"/>
    <w:next w:val="Tablaconcuadrícula"/>
    <w:autoRedefine w:val="0"/>
    <w:hidden w:val="0"/>
    <w:qFormat w:val="0"/>
    <w:pPr>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s-ES" w:val="es-ES"/>
    </w:rPr>
  </w:style>
  <w:style w:type="character" w:styleId="Textoennegrita">
    <w:name w:val="Texto en negrita"/>
    <w:next w:val="Textoennegrita"/>
    <w:autoRedefine w:val="0"/>
    <w:hidden w:val="0"/>
    <w:qFormat w:val="0"/>
    <w:rPr>
      <w:b w:val="1"/>
      <w:bCs w:val="1"/>
      <w:w w:val="100"/>
      <w:position w:val="-1"/>
      <w:effect w:val="none"/>
      <w:vertAlign w:val="baseline"/>
      <w:cs w:val="0"/>
      <w:em w:val="none"/>
      <w:lang/>
    </w:rPr>
  </w:style>
  <w:style w:type="character" w:styleId="Hipervínculovisitado">
    <w:name w:val="Hipervínculo visitado"/>
    <w:next w:val="Hipervínculovisitado"/>
    <w:autoRedefine w:val="0"/>
    <w:hidden w:val="0"/>
    <w:qFormat w:val="0"/>
    <w:rPr>
      <w:color w:val="800080"/>
      <w:w w:val="100"/>
      <w:position w:val="-1"/>
      <w:u w:val="single"/>
      <w:effect w:val="none"/>
      <w:vertAlign w:val="baseline"/>
      <w:cs w:val="0"/>
      <w:em w:val="none"/>
      <w:lang/>
    </w:rPr>
  </w:style>
  <w:style w:type="paragraph" w:styleId="Párrafodelista">
    <w:name w:val="Párrafo de lista"/>
    <w:basedOn w:val="Normal"/>
    <w:next w:val="Párrafodelista"/>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s-ES"/>
    </w:rPr>
  </w:style>
  <w:style w:type="character" w:styleId="Ref.denotaalpie">
    <w:name w:val="Ref. de nota al pie"/>
    <w:next w:val="Ref.denotaalpie"/>
    <w:autoRedefine w:val="0"/>
    <w:hidden w:val="0"/>
    <w:qFormat w:val="0"/>
    <w:rPr>
      <w:w w:val="100"/>
      <w:position w:val="-1"/>
      <w:effect w:val="none"/>
      <w:vertAlign w:val="superscript"/>
      <w:cs w:val="0"/>
      <w:em w:val="none"/>
      <w:lang/>
    </w:rPr>
  </w:style>
  <w:style w:type="character" w:styleId="Título4Car">
    <w:name w:val="Título 4 Car"/>
    <w:next w:val="Título4Car"/>
    <w:autoRedefine w:val="0"/>
    <w:hidden w:val="0"/>
    <w:qFormat w:val="0"/>
    <w:rPr>
      <w:b w:val="1"/>
      <w:bCs w:val="1"/>
      <w:color w:val="00000a"/>
      <w:w w:val="100"/>
      <w:position w:val="-1"/>
      <w:sz w:val="30"/>
      <w:szCs w:val="24"/>
      <w:effect w:val="none"/>
      <w:shd w:color="auto" w:fill="e6e6e6" w:val="clear"/>
      <w:vertAlign w:val="baseline"/>
      <w:cs w:val="0"/>
      <w:em w:val="none"/>
      <w:lang w:bidi="hi-IN" w:eastAsia="zh-CN" w:val="es-ES"/>
    </w:rPr>
  </w:style>
  <w:style w:type="paragraph" w:styleId="Sangría2det.independiente">
    <w:name w:val="Sangría 2 de t. independiente"/>
    <w:basedOn w:val="Normal"/>
    <w:next w:val="Sangría2det.independiente"/>
    <w:autoRedefine w:val="0"/>
    <w:hidden w:val="0"/>
    <w:qFormat w:val="0"/>
    <w:pPr>
      <w:suppressAutoHyphens w:val="0"/>
      <w:spacing w:after="120" w:line="480" w:lineRule="auto"/>
      <w:ind w:left="283" w:leftChars="-1" w:rightChars="0" w:firstLineChars="-1"/>
      <w:textDirection w:val="btLr"/>
      <w:textAlignment w:val="top"/>
      <w:outlineLvl w:val="0"/>
    </w:pPr>
    <w:rPr>
      <w:w w:val="100"/>
      <w:position w:val="-1"/>
      <w:effect w:val="none"/>
      <w:vertAlign w:val="baseline"/>
      <w:cs w:val="0"/>
      <w:em w:val="none"/>
      <w:lang w:bidi="ar-SA" w:eastAsia="ar-SA" w:val="es-ES"/>
    </w:rPr>
  </w:style>
  <w:style w:type="character" w:styleId="Sangría2det.independienteCar">
    <w:name w:val="Sangría 2 de t. independiente Car"/>
    <w:next w:val="Sangría2det.independienteCar"/>
    <w:autoRedefine w:val="0"/>
    <w:hidden w:val="0"/>
    <w:qFormat w:val="0"/>
    <w:rPr>
      <w:w w:val="100"/>
      <w:position w:val="-1"/>
      <w:effect w:val="none"/>
      <w:vertAlign w:val="baseline"/>
      <w:cs w:val="0"/>
      <w:em w:val="none"/>
      <w:lang w:eastAsia="ar-SA" w:val="es-ES"/>
    </w:rPr>
  </w:style>
  <w:style w:type="character" w:styleId="Ref.decomentario">
    <w:name w:val="Ref. de comentario"/>
    <w:next w:val="Ref.decomentario"/>
    <w:autoRedefine w:val="0"/>
    <w:hidden w:val="0"/>
    <w:qFormat w:val="0"/>
    <w:rPr>
      <w:w w:val="100"/>
      <w:position w:val="-1"/>
      <w:sz w:val="16"/>
      <w:szCs w:val="16"/>
      <w:effect w:val="none"/>
      <w:vertAlign w:val="baseline"/>
      <w:cs w:val="0"/>
      <w:em w:val="none"/>
      <w:lang/>
    </w:rPr>
  </w:style>
  <w:style w:type="paragraph" w:styleId="Textocomentario">
    <w:name w:val="Texto comentario"/>
    <w:basedOn w:val="Normal"/>
    <w:next w:val="Textocomentario"/>
    <w:autoRedefine w:val="0"/>
    <w:hidden w:val="0"/>
    <w:qFormat w:val="0"/>
    <w:pPr>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ar-SA" w:val="es-ES"/>
    </w:rPr>
  </w:style>
  <w:style w:type="character" w:styleId="TextocomentarioCar">
    <w:name w:val="Texto comentario Car"/>
    <w:next w:val="TextocomentarioCar"/>
    <w:autoRedefine w:val="0"/>
    <w:hidden w:val="0"/>
    <w:qFormat w:val="0"/>
    <w:rPr>
      <w:w w:val="100"/>
      <w:position w:val="-1"/>
      <w:effect w:val="none"/>
      <w:vertAlign w:val="baseline"/>
      <w:cs w:val="0"/>
      <w:em w:val="none"/>
      <w:lang w:eastAsia="ar-SA" w:val="es-ES"/>
    </w:rPr>
  </w:style>
  <w:style w:type="paragraph" w:styleId="Asuntodelcomentario">
    <w:name w:val="Asunto del comentario"/>
    <w:basedOn w:val="Textocomentario"/>
    <w:next w:val="Textocomentario"/>
    <w:autoRedefine w:val="0"/>
    <w:hidden w:val="0"/>
    <w:qFormat w:val="0"/>
    <w:pPr>
      <w:suppressAutoHyphens w:val="0"/>
      <w:spacing w:line="1" w:lineRule="atLeast"/>
      <w:ind w:leftChars="-1" w:rightChars="0" w:firstLineChars="-1"/>
      <w:textDirection w:val="btLr"/>
      <w:textAlignment w:val="top"/>
      <w:outlineLvl w:val="0"/>
    </w:pPr>
    <w:rPr>
      <w:b w:val="1"/>
      <w:bCs w:val="1"/>
      <w:w w:val="100"/>
      <w:position w:val="-1"/>
      <w:effect w:val="none"/>
      <w:vertAlign w:val="baseline"/>
      <w:cs w:val="0"/>
      <w:em w:val="none"/>
      <w:lang w:bidi="ar-SA" w:eastAsia="ar-SA" w:val="es-ES"/>
    </w:rPr>
  </w:style>
  <w:style w:type="character" w:styleId="AsuntodelcomentarioCar">
    <w:name w:val="Asunto del comentario Car"/>
    <w:next w:val="AsuntodelcomentarioCar"/>
    <w:autoRedefine w:val="0"/>
    <w:hidden w:val="0"/>
    <w:qFormat w:val="0"/>
    <w:rPr>
      <w:b w:val="1"/>
      <w:bCs w:val="1"/>
      <w:w w:val="100"/>
      <w:position w:val="-1"/>
      <w:effect w:val="none"/>
      <w:vertAlign w:val="baseline"/>
      <w:cs w:val="0"/>
      <w:em w:val="none"/>
      <w:lang w:eastAsia="ar-SA" w:val="es-E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uYOe6/+yOWsDqq2upfkNOJZ2jQ==">CgMxLjAyCGguZ2pkZ3hzMgloLjMwajB6bGw4AHIhMUg0bkV3d2ZpejRfVFVEZkxRNU51VkpDMVNiYkNwMlJV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2024-05-11T01:23:00Z</dcterms:created>
  <dc:creator>Sergio Merino</dc:creator>
</cp:coreProperties>
</file>