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pBdr>
          <w:bottom w:color="000000" w:space="4" w:sz="6" w:val="single"/>
        </w:pBdr>
        <w:spacing w:after="160" w:before="300" w:lineRule="auto"/>
        <w:ind w:left="0" w:right="-33" w:hanging="2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GRILLA DE EVALUACIÓN DEL JURADO</w:t>
      </w:r>
      <w:r w:rsidDel="00000000" w:rsidR="00000000" w:rsidRPr="00000000">
        <w:rPr>
          <w:rtl w:val="0"/>
        </w:rPr>
      </w:r>
    </w:p>
    <w:tbl>
      <w:tblPr>
        <w:tblStyle w:val="Table1"/>
        <w:tblW w:w="15440.0" w:type="dxa"/>
        <w:jc w:val="left"/>
        <w:tblLayout w:type="fixed"/>
        <w:tblLook w:val="0400"/>
      </w:tblPr>
      <w:tblGrid>
        <w:gridCol w:w="2313"/>
        <w:gridCol w:w="2892"/>
        <w:gridCol w:w="5493"/>
        <w:gridCol w:w="1157"/>
        <w:gridCol w:w="1272"/>
        <w:gridCol w:w="2313"/>
        <w:tblGridChange w:id="0">
          <w:tblGrid>
            <w:gridCol w:w="2313"/>
            <w:gridCol w:w="2892"/>
            <w:gridCol w:w="5493"/>
            <w:gridCol w:w="1157"/>
            <w:gridCol w:w="1272"/>
            <w:gridCol w:w="231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Postulante: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DNI: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Fecha: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Jurado: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Rule="auto"/>
              <w:ind w:left="0" w:hanging="2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Dimensión / Eje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Rule="auto"/>
              <w:ind w:left="0" w:hanging="2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Criterios específicos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Rule="auto"/>
              <w:ind w:left="0" w:hanging="2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Indicadores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Rule="auto"/>
              <w:ind w:left="0" w:hanging="2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Puntaje máx.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Rule="auto"/>
              <w:ind w:left="0" w:hanging="2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Puntaje asignado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Rule="auto"/>
              <w:ind w:left="0" w:hanging="2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Observaciones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10">
            <w:pPr>
              <w:spacing w:after="0" w:lineRule="auto"/>
              <w:ind w:left="0" w:hanging="2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BLOQUE A. EVALUACIÓN DE CV Y ANTECEDENTES (25 puntos)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7"/>
                <w:szCs w:val="17"/>
                <w:rtl w:val="0"/>
              </w:rPr>
              <w:t xml:space="preserve">Formación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Formación de nivel superior y específica vinculada con educación, gestión institucional, políticas estudiantiles, acompañamiento de trayectorias, inclusión, convivencia, participación y derechos.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Valora la formación acreditada y su pertinencia para las funciones del cargo.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7"/>
                <w:szCs w:val="17"/>
                <w:rtl w:val="0"/>
              </w:rPr>
              <w:t xml:space="preserve">Experiencia en Educación Superior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Experiencia en Educación Superior y en acompañamiento de estudiantes y trayectorias formativas.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Considera experiencia vinculada con ingreso, permanencia y egreso.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7"/>
                <w:szCs w:val="17"/>
                <w:rtl w:val="0"/>
              </w:rPr>
              <w:t xml:space="preserve">Proyectos y dispositivos institucionales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after="0" w:lineRule="auto"/>
              <w:ind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Experiencia en proyectos, programas y dispositivos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orientados al fortalecimiento de trayectorias estudiantiles, inclusión, convivencia, participación, becas y otras políticas de acompañamiento.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Considera participación efectiva y pertinencia de las experiencias respecto del cargo.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7"/>
                <w:szCs w:val="17"/>
                <w:rtl w:val="0"/>
              </w:rPr>
              <w:t xml:space="preserve">Articulación y trabajo colaborativo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Experiencia de trabajo articulado con equipos docentes, directivos, coordinaciones, estudiantes y otras instituciones u organizaciones del territorio.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Considera antecedentes de trabajo colaborativo y articulado.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7"/>
                <w:szCs w:val="17"/>
                <w:rtl w:val="0"/>
              </w:rPr>
              <w:t xml:space="preserve">Otros antecedentes pertinentes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Otros antecedentes profesionales pertinentes al cargo.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Considera antecedentes adicionales directamente relacionados con las funciones de la Coordinación.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Subtotal Bloque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3B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BLOQUE B. PROYECTO ESCRITO / PLAN DE TRABAJO (55 puntos)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7"/>
                <w:szCs w:val="17"/>
                <w:rtl w:val="0"/>
              </w:rPr>
              <w:t xml:space="preserve">Diagnóstico institucional y territorial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Identificación pertinente de problemáticas, necesidades y características de los/as estudiantes del ISFD.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Reconoce el contexto institucional y territorial, identifica necesidades relevantes y organiza el diagnóstico de manera clara y pertinente.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7"/>
                <w:szCs w:val="17"/>
                <w:rtl w:val="0"/>
              </w:rPr>
              <w:t xml:space="preserve">Fundamentación conceptual, normativa e institucional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Claridad conceptual y normativa de la propuesta; concepción de estudiante y de trayectoria formativa; vinculación con las necesidades del ISFD.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Fundamenta la propuesta con referencias conceptuales y normativas pertinentes; explicita una lectura situada, la vincula con las funciones del cargo y presenta una argumentación coherente.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7"/>
                <w:szCs w:val="17"/>
                <w:rtl w:val="0"/>
              </w:rPr>
              <w:t xml:space="preserve">Ingreso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Estrategias concretas para favorecer el ingreso, la inserción institucional y el acompañamiento de estudiantes ingresantes.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Propone acciones viables y pertinentes para el inicio de las trayectorias.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4.795837402343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spacing w:after="0" w:lineRule="auto"/>
              <w:ind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7"/>
                <w:szCs w:val="17"/>
                <w:rtl w:val="0"/>
              </w:rPr>
              <w:t xml:space="preserve">Acompañamiento, permanencia de trayectorias y estrategias de articulación con Bedelía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spacing w:after="0" w:lineRule="auto"/>
              <w:ind w:left="0" w:hanging="2"/>
              <w:rPr>
                <w:rFonts w:ascii="Arial" w:cs="Arial" w:eastAsia="Arial" w:hAnsi="Arial"/>
                <w:sz w:val="17"/>
                <w:szCs w:val="17"/>
              </w:rPr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Estrategias de acompañamiento, detección de dificultades y prevención del abandono.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Propone acciones para sostener trayectorias y abordar situaciones que puedan obstaculizar la permanencia.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spacing w:after="0" w:before="0" w:line="240" w:lineRule="auto"/>
              <w:ind w:left="0" w:firstLine="0"/>
              <w:rPr>
                <w:rFonts w:ascii="Arial" w:cs="Arial" w:eastAsia="Arial" w:hAnsi="Arial"/>
                <w:b w:val="1"/>
                <w:bCs w:val="1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spacing w:after="0" w:lineRule="auto"/>
              <w:ind w:hanging="2"/>
              <w:rPr>
                <w:rFonts w:ascii="Arial" w:cs="Arial" w:eastAsia="Arial" w:hAnsi="Arial"/>
                <w:sz w:val="17"/>
                <w:szCs w:val="17"/>
              </w:rPr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Estrategias de articulación con Bedelía para relevar, analizar y utilizar información sobre trayectorias académicas de estudiantes y graduados.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spacing w:after="0" w:lineRule="auto"/>
              <w:ind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Propone registro, seguimiento y uso de información para orientar decisiones.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spacing w:after="0" w:lineRule="auto"/>
              <w:ind w:left="0" w:hanging="2"/>
              <w:rPr>
                <w:rFonts w:ascii="Arial" w:cs="Arial" w:eastAsia="Arial" w:hAnsi="Arial"/>
                <w:sz w:val="17"/>
                <w:szCs w:val="17"/>
              </w:rPr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7"/>
                <w:szCs w:val="17"/>
                <w:rtl w:val="0"/>
              </w:rPr>
              <w:t xml:space="preserve">Egreso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Acciones orientadas al acompañamiento de estudiantes en la finalización de sus trayectorias formativas.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Contempla el egreso y la transición hacia la graduación.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7"/>
                <w:szCs w:val="17"/>
                <w:rtl w:val="0"/>
              </w:rPr>
              <w:t xml:space="preserve">Participación estudiantil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Propuestas para fortalecer la participación, representación, organización y protagonismo de los/as estudiantes en la vida institucional.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Incluye espacios, canales o dispositivos de participación y escucha.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7"/>
                <w:szCs w:val="17"/>
                <w:rtl w:val="0"/>
              </w:rPr>
              <w:t xml:space="preserve">Información y orientación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Estrategias para facilitar el acceso a normativa, propuestas académicas, actividades institucionales y recursos disponibles.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Propone comunicación y orientación claras, accesibles y pertinentes.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7"/>
                <w:szCs w:val="17"/>
                <w:rtl w:val="0"/>
              </w:rPr>
              <w:t xml:space="preserve">Becas y políticas de acompañamiento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Estrategias de información, asesoramiento, gestión y seguimiento.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Favorece el acceso a becas y otros recursos de acompañamiento.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7"/>
                <w:szCs w:val="17"/>
                <w:rtl w:val="0"/>
              </w:rPr>
              <w:t xml:space="preserve">Articulación institucional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Trabajo conjunto con Equipo Directivo, Bedelía, Coordinaciones, docentes, estudiantes y demás actores institucionales.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Define mecanismos de articulación y trabajo colaborativo con otros actores y espacios institucionales.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7"/>
                <w:szCs w:val="17"/>
                <w:rtl w:val="0"/>
              </w:rPr>
              <w:t xml:space="preserve">Viabilidad, planificación y evaluación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Objetivos claros, acciones, responsables, tiempos, recursos, indicadores y mecanismos de seguimiento y evaluación.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Presenta una propuesta organizada, viable y evaluable; establece prioridades, responsables, tiempos y mecanismos de seguimiento, evaluación y ajuste, manteniendo coherencia entre diagnóstico, objetivos y acciones.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Subtotal Bloque 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89">
            <w:pPr>
              <w:spacing w:after="0" w:lineRule="auto"/>
              <w:ind w:left="0" w:hanging="2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BLOQUE C. PRESENTACIÓN Y DEFENSA PÚBLICA DEL PROYECTO (20 puntos)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7"/>
                <w:szCs w:val="17"/>
                <w:rtl w:val="0"/>
              </w:rPr>
              <w:t xml:space="preserve">Fundamentación de decisiones y prioridades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Fundamenta las decisiones y prioridades adoptadas en el proyecto.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Explica las opciones tomadas y puede justificar las prioridades seleccionadas.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7"/>
                <w:szCs w:val="17"/>
                <w:rtl w:val="0"/>
              </w:rPr>
              <w:t xml:space="preserve">Conocimiento del rol y funciones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Conocimiento del rol y de las funciones de la Coordinación de Políticas Estudiantiles.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Evidencia apropiación de las funciones del cargo y de las problemáticas vinculadas con las políticas estudiantiles.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7"/>
                <w:szCs w:val="17"/>
                <w:rtl w:val="0"/>
              </w:rPr>
              <w:t xml:space="preserve">Solvencia conceptual y normativa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Solvencia conceptual y normativa.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Sostiene la propuesta con fundamentos pertinentes y consistentes.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7"/>
                <w:szCs w:val="17"/>
                <w:rtl w:val="0"/>
              </w:rPr>
              <w:t xml:space="preserve">Análisis de problemáticas y estrategias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Capacidad para analizar problemáticas de ingreso, permanencia, trayectorias y egreso.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Relaciona problemas institucionales con estrategias de intervención.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7"/>
                <w:szCs w:val="17"/>
                <w:rtl w:val="0"/>
              </w:rPr>
              <w:t xml:space="preserve">Articulación y trabajo colaborativo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Capacidad de articulación y trabajo colaborativo con los distintos actores institucionales.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Considera alternativas de trabajo conjunto y coordinación institucional.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7"/>
                <w:szCs w:val="17"/>
                <w:rtl w:val="0"/>
              </w:rPr>
              <w:t xml:space="preserve">Respuesta, revisión y resolución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Capacidad para responder preguntas, revisar decisiones y resolver situaciones institucionales.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Responde con pertinencia y puede ampliar o revisar aspectos de la propuesta a partir del intercambio con el Jurado.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7"/>
                <w:szCs w:val="17"/>
                <w:rtl w:val="0"/>
              </w:rPr>
              <w:t xml:space="preserve">Claridad y comunicación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Claridad, organización y comunicación de la propuesta.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Expone de manera ordenada, precisa y ajustada al tiempo disponible.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Subtotal Bloque 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BF">
            <w:pPr>
              <w:spacing w:after="0" w:lineRule="auto"/>
              <w:ind w:left="0" w:hanging="2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PUNTAJE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1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2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3">
            <w:pPr>
              <w:ind w:left="0" w:hanging="2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4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C5">
            <w:pPr>
              <w:spacing w:after="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ind w:left="0" w:hanging="2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Firman en conformidad los/as integrantes del Consejo Institucional presentes en la sustanciación:</w:t>
      </w:r>
    </w:p>
    <w:tbl>
      <w:tblPr>
        <w:tblStyle w:val="Table2"/>
        <w:tblW w:w="154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20"/>
        <w:gridCol w:w="5580"/>
        <w:gridCol w:w="7220"/>
        <w:tblGridChange w:id="0">
          <w:tblGrid>
            <w:gridCol w:w="2620"/>
            <w:gridCol w:w="5580"/>
            <w:gridCol w:w="722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after="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CARGO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after="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NOMBRE Y APELLIDO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after="0" w:lineRule="auto"/>
              <w:ind w:left="0" w:hanging="2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after="0" w:line="48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Miembro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after="0" w:line="48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Aclaración: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after="0" w:line="48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Firma: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spacing w:after="0" w:line="48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Miembro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after="0" w:line="48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Aclaración: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spacing w:after="0" w:line="48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Firma: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after="0" w:line="48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Miembro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spacing w:after="0" w:line="48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Aclaración: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spacing w:after="0" w:line="48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Firma: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spacing w:after="0" w:line="48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Miembro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spacing w:after="0" w:line="48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Aclaración: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spacing w:after="0" w:line="48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Firma: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spacing w:after="0" w:line="48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Miembro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spacing w:after="0" w:line="48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Aclaración: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spacing w:after="0" w:line="480" w:lineRule="auto"/>
              <w:ind w:left="0" w:hanging="2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Firma: </w:t>
            </w:r>
          </w:p>
        </w:tc>
      </w:tr>
    </w:tbl>
    <w:p w:rsidR="00000000" w:rsidDel="00000000" w:rsidP="00000000" w:rsidRDefault="00000000" w:rsidRPr="00000000" w14:paraId="000000D9">
      <w:pPr>
        <w:ind w:left="0" w:hanging="2"/>
        <w:jc w:val="both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El presente dictamen se eleva a la Dirección del ISFD N° 803 y a la DGES dentro de los 3 (tres) días hábiles posteriores a la sustanciación del concurso, conforme Art. 19° del Anexo Reglamento de Concursos del ROM.</w:t>
      </w:r>
    </w:p>
    <w:p w:rsidR="00000000" w:rsidDel="00000000" w:rsidP="00000000" w:rsidRDefault="00000000" w:rsidRPr="00000000" w14:paraId="000000DA">
      <w:pPr>
        <w:ind w:left="0" w:hanging="2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before="80" w:lineRule="auto"/>
        <w:ind w:left="0" w:hanging="2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sz w:val="17"/>
          <w:szCs w:val="17"/>
          <w:rtl w:val="0"/>
        </w:rPr>
        <w:t xml:space="preserve">La defensa oral no excederá los 40 minutos, incluyendo el tiempo destinado a preguntas.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5" w:w="16837" w:orient="landscape"/>
      <w:pgMar w:bottom="720" w:top="720" w:left="720" w:right="720" w:header="720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Comic Sans MS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ind w:left="0" w:hanging="2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Comic Sans MS" w:cs="Comic Sans MS" w:eastAsia="Comic Sans MS" w:hAnsi="Comic Sans MS"/>
        <w:sz w:val="20"/>
        <w:szCs w:val="20"/>
        <w:rtl w:val="0"/>
      </w:rPr>
      <w:tab/>
      <w:t xml:space="preserve">  </w:t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D">
    <w:pPr>
      <w:ind w:left="0" w:hanging="2"/>
      <w:rPr>
        <w:rFonts w:ascii="Arial" w:cs="Arial" w:eastAsia="Arial" w:hAnsi="Arial"/>
        <w:sz w:val="18"/>
        <w:szCs w:val="18"/>
      </w:rPr>
    </w:pPr>
    <w:r w:rsidDel="00000000" w:rsidR="00000000" w:rsidRPr="00000000">
      <w:rPr>
        <w:rFonts w:ascii="Arial" w:cs="Arial" w:eastAsia="Arial" w:hAnsi="Arial"/>
        <w:b w:val="1"/>
        <w:bCs w:val="1"/>
        <w:sz w:val="18"/>
        <w:szCs w:val="18"/>
        <w:rtl w:val="0"/>
      </w:rPr>
      <w:t xml:space="preserve">Dirección General de Educación Superior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7372350</wp:posOffset>
          </wp:positionH>
          <wp:positionV relativeFrom="paragraph">
            <wp:posOffset>-185736</wp:posOffset>
          </wp:positionV>
          <wp:extent cx="1266508" cy="473892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66508" cy="47389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8891140</wp:posOffset>
          </wp:positionH>
          <wp:positionV relativeFrom="paragraph">
            <wp:posOffset>-152398</wp:posOffset>
          </wp:positionV>
          <wp:extent cx="621030" cy="407670"/>
          <wp:effectExtent b="0" l="0" r="0" t="0"/>
          <wp:wrapSquare wrapText="bothSides" distB="0" distT="0" distL="114300" distR="114300"/>
          <wp:docPr descr="logo_803" id="3" name="image2.jpg"/>
          <a:graphic>
            <a:graphicData uri="http://schemas.openxmlformats.org/drawingml/2006/picture">
              <pic:pic>
                <pic:nvPicPr>
                  <pic:cNvPr descr="logo_803"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1030" cy="4076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DE">
    <w:pPr>
      <w:ind w:left="0" w:hanging="2"/>
      <w:rPr>
        <w:rFonts w:ascii="Arial" w:cs="Arial" w:eastAsia="Arial" w:hAnsi="Arial"/>
        <w:sz w:val="18"/>
        <w:szCs w:val="18"/>
      </w:rPr>
    </w:pPr>
    <w:r w:rsidDel="00000000" w:rsidR="00000000" w:rsidRPr="00000000">
      <w:rPr>
        <w:rFonts w:ascii="Arial" w:cs="Arial" w:eastAsia="Arial" w:hAnsi="Arial"/>
        <w:b w:val="1"/>
        <w:bCs w:val="1"/>
        <w:sz w:val="18"/>
        <w:szCs w:val="18"/>
        <w:rtl w:val="0"/>
      </w:rPr>
      <w:t xml:space="preserve">Instituto Superior de Formación Docente N° 803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F">
    <w:pPr>
      <w:pBdr>
        <w:bottom w:color="000000" w:space="1" w:sz="4" w:val="single"/>
      </w:pBdr>
      <w:ind w:left="0" w:hanging="2"/>
      <w:rPr/>
    </w:pPr>
    <w:r w:rsidDel="00000000" w:rsidR="00000000" w:rsidRPr="00000000">
      <w:rPr>
        <w:rFonts w:ascii="Arial" w:cs="Arial" w:eastAsia="Arial" w:hAnsi="Arial"/>
        <w:b w:val="1"/>
        <w:bCs w:val="1"/>
        <w:sz w:val="18"/>
        <w:szCs w:val="18"/>
        <w:rtl w:val="0"/>
      </w:rPr>
      <w:t xml:space="preserve">Puerto Madryn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ind w:left="0" w:hanging="1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ind w:left="0" w:hanging="1"/>
    </w:pPr>
    <w:rPr>
      <w:rFonts w:ascii="Arial" w:cs="Arial" w:eastAsia="Arial" w:hAnsi="Arial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WW8Num1z0" w:customStyle="1">
    <w:name w:val="WW8Num1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2z0" w:customStyle="1">
    <w:name w:val="WW8Num2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2z1" w:customStyle="1">
    <w:name w:val="WW8Num2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2z3" w:customStyle="1">
    <w:name w:val="WW8Num2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styleId="WW8Num4z0" w:customStyle="1">
    <w:name w:val="WW8Num4z0"/>
    <w:rPr>
      <w:rFonts w:ascii="Wingdings" w:hAnsi="Wingdings"/>
      <w:w w:val="100"/>
      <w:position w:val="-1"/>
      <w:sz w:val="24"/>
      <w:effect w:val="none"/>
      <w:vertAlign w:val="baseline"/>
      <w:cs w:val="0"/>
      <w:em w:val="none"/>
    </w:rPr>
  </w:style>
  <w:style w:type="character" w:styleId="WW8Num5z0" w:customStyle="1">
    <w:name w:val="WW8Num5z0"/>
    <w:rPr>
      <w:b w:val="0"/>
      <w:w w:val="100"/>
      <w:position w:val="-1"/>
      <w:effect w:val="none"/>
      <w:vertAlign w:val="baseline"/>
      <w:cs w:val="0"/>
      <w:em w:val="none"/>
    </w:rPr>
  </w:style>
  <w:style w:type="character" w:styleId="WW8Num6z0" w:customStyle="1">
    <w:name w:val="WW8Num6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7z0" w:customStyle="1">
    <w:name w:val="WW8Num7z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WW8Num9z0" w:customStyle="1">
    <w:name w:val="WW8Num9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10z0" w:customStyle="1">
    <w:name w:val="WW8Num10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11z0" w:customStyle="1">
    <w:name w:val="WW8Num1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styleId="WW8Num11z1" w:customStyle="1">
    <w:name w:val="WW8Num11z1"/>
    <w:rPr>
      <w:rFonts w:ascii="Courier New" w:cs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11z2" w:customStyle="1">
    <w:name w:val="WW8Num11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13z0" w:customStyle="1">
    <w:name w:val="WW8Num13z0"/>
    <w:rPr>
      <w:rFonts w:ascii="Wingdings" w:hAnsi="Wingdings"/>
      <w:w w:val="100"/>
      <w:position w:val="-1"/>
      <w:sz w:val="24"/>
      <w:effect w:val="none"/>
      <w:vertAlign w:val="baseline"/>
      <w:cs w:val="0"/>
      <w:em w:val="none"/>
    </w:rPr>
  </w:style>
  <w:style w:type="character" w:styleId="WW8Num14z0" w:customStyle="1">
    <w:name w:val="WW8Num14z0"/>
    <w:rPr>
      <w:rFonts w:ascii="Comic Sans MS" w:hAnsi="Comic Sans MS"/>
      <w:w w:val="100"/>
      <w:position w:val="-1"/>
      <w:effect w:val="none"/>
      <w:vertAlign w:val="baseline"/>
      <w:cs w:val="0"/>
      <w:em w:val="none"/>
    </w:rPr>
  </w:style>
  <w:style w:type="character" w:styleId="WW8Num15z0" w:customStyle="1">
    <w:name w:val="WW8Num15z0"/>
    <w:rPr>
      <w:rFonts w:ascii="Wingdings" w:hAnsi="Wingdings"/>
      <w:w w:val="100"/>
      <w:position w:val="-1"/>
      <w:sz w:val="24"/>
      <w:effect w:val="none"/>
      <w:vertAlign w:val="baseline"/>
      <w:cs w:val="0"/>
      <w:em w:val="none"/>
    </w:rPr>
  </w:style>
  <w:style w:type="character" w:styleId="WW8Num17z0" w:customStyle="1">
    <w:name w:val="WW8Num17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17z1" w:customStyle="1">
    <w:name w:val="WW8Num17z1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styleId="WW8Num17z4" w:customStyle="1">
    <w:name w:val="WW8Num17z4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18z0" w:customStyle="1">
    <w:name w:val="WW8Num18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19z0" w:customStyle="1">
    <w:name w:val="WW8Num19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19z1" w:customStyle="1">
    <w:name w:val="WW8Num19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19z3" w:customStyle="1">
    <w:name w:val="WW8Num19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styleId="WW8Num21z0" w:customStyle="1">
    <w:name w:val="WW8Num21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21z1" w:customStyle="1">
    <w:name w:val="WW8Num21z1"/>
    <w:rPr>
      <w:rFonts w:ascii="Courier New" w:cs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21z3" w:customStyle="1">
    <w:name w:val="WW8Num21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styleId="WW8Num22z0" w:customStyle="1">
    <w:name w:val="WW8Num22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23z0" w:customStyle="1">
    <w:name w:val="WW8Num23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24z0" w:customStyle="1">
    <w:name w:val="WW8Num24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25z0" w:customStyle="1">
    <w:name w:val="WW8Num25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25z1" w:customStyle="1">
    <w:name w:val="WW8Num25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25z3" w:customStyle="1">
    <w:name w:val="WW8Num25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styleId="WW8Num26z0" w:customStyle="1">
    <w:name w:val="WW8Num26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27z0" w:customStyle="1">
    <w:name w:val="WW8Num2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styleId="WW8Num27z1" w:customStyle="1">
    <w:name w:val="WW8Num27z1"/>
    <w:rPr>
      <w:rFonts w:ascii="Courier New" w:cs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27z2" w:customStyle="1">
    <w:name w:val="WW8Num27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29z0" w:customStyle="1">
    <w:name w:val="WW8Num2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styleId="WW8Num29z1" w:customStyle="1">
    <w:name w:val="WW8Num29z1"/>
    <w:rPr>
      <w:rFonts w:ascii="Courier New" w:cs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29z2" w:customStyle="1">
    <w:name w:val="WW8Num29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30z0" w:customStyle="1">
    <w:name w:val="WW8Num30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30z1" w:customStyle="1">
    <w:name w:val="WW8Num30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30z3" w:customStyle="1">
    <w:name w:val="WW8Num30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styleId="WW8Num31z0" w:customStyle="1">
    <w:name w:val="WW8Num31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32z0" w:customStyle="1">
    <w:name w:val="WW8Num3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styleId="WW8Num32z1" w:customStyle="1">
    <w:name w:val="WW8Num32z1"/>
    <w:rPr>
      <w:rFonts w:ascii="Courier New" w:cs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32z2" w:customStyle="1">
    <w:name w:val="WW8Num32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33z0" w:customStyle="1">
    <w:name w:val="WW8Num33z0"/>
    <w:rPr>
      <w:rFonts w:ascii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WW8Num34z0" w:customStyle="1">
    <w:name w:val="WW8Num34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34z1" w:customStyle="1">
    <w:name w:val="WW8Num34z1"/>
    <w:rPr>
      <w:rFonts w:ascii="Courier New" w:cs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35z0" w:customStyle="1">
    <w:name w:val="WW8Num35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35z1" w:customStyle="1">
    <w:name w:val="WW8Num35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35z3" w:customStyle="1">
    <w:name w:val="WW8Num35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styleId="WW8Num36z0" w:customStyle="1">
    <w:name w:val="WW8Num36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36z1" w:customStyle="1">
    <w:name w:val="WW8Num36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36z3" w:customStyle="1">
    <w:name w:val="WW8Num36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styleId="WW8Num37z0" w:customStyle="1">
    <w:name w:val="WW8Num3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styleId="WW8Num37z1" w:customStyle="1">
    <w:name w:val="WW8Num37z1"/>
    <w:rPr>
      <w:rFonts w:ascii="Courier New" w:cs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37z2" w:customStyle="1">
    <w:name w:val="WW8Num37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38z0" w:customStyle="1">
    <w:name w:val="WW8Num38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styleId="WW8Num38z1" w:customStyle="1">
    <w:name w:val="WW8Num38z1"/>
    <w:rPr>
      <w:rFonts w:ascii="Courier New" w:cs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38z2" w:customStyle="1">
    <w:name w:val="WW8Num38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39z0" w:customStyle="1">
    <w:name w:val="WW8Num39z0"/>
    <w:rPr>
      <w:rFonts w:ascii="Times New Roman" w:cs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WW8Num40z0" w:customStyle="1">
    <w:name w:val="WW8Num40z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WW8Num41z0" w:customStyle="1">
    <w:name w:val="WW8Num41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42z0" w:customStyle="1">
    <w:name w:val="WW8Num42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43z0" w:customStyle="1">
    <w:name w:val="WW8Num43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44z0" w:customStyle="1">
    <w:name w:val="WW8Num44z0"/>
    <w:rPr>
      <w:rFonts w:ascii="Wingdings" w:hAnsi="Wingdings"/>
      <w:b w:val="0"/>
      <w:i w:val="0"/>
      <w:w w:val="100"/>
      <w:position w:val="-1"/>
      <w:sz w:val="24"/>
      <w:effect w:val="none"/>
      <w:vertAlign w:val="baseline"/>
      <w:cs w:val="0"/>
      <w:em w:val="none"/>
    </w:rPr>
  </w:style>
  <w:style w:type="character" w:styleId="Fuentedeprrafopredeter1" w:customStyle="1">
    <w:name w:val="Fuente de párrafo predeter.1"/>
    <w:rPr>
      <w:w w:val="100"/>
      <w:position w:val="-1"/>
      <w:effect w:val="none"/>
      <w:vertAlign w:val="baseline"/>
      <w:cs w:val="0"/>
      <w:em w:val="none"/>
    </w:rPr>
  </w:style>
  <w:style w:type="character" w:styleId="Nmerodepgina">
    <w:name w:val="page number"/>
    <w:basedOn w:val="Fuentedeprrafopredeter1"/>
    <w:rPr>
      <w:w w:val="100"/>
      <w:position w:val="-1"/>
      <w:effect w:val="none"/>
      <w:vertAlign w:val="baseline"/>
      <w:cs w:val="0"/>
      <w:em w:val="none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Smbolodenotaalpie" w:customStyle="1">
    <w:name w:val="Símbolo de nota al pie"/>
    <w:rPr>
      <w:w w:val="100"/>
      <w:position w:val="-1"/>
      <w:effect w:val="none"/>
      <w:vertAlign w:val="superscript"/>
      <w:cs w:val="0"/>
      <w:em w:val="none"/>
    </w:rPr>
  </w:style>
  <w:style w:type="character" w:styleId="MquinadeescribirHTML">
    <w:name w:val="HTML Typewriter"/>
    <w:rPr>
      <w:rFonts w:ascii="Courier New" w:cs="Courier New" w:eastAsia="Courier New" w:hAnsi="Courier New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Encabezado1" w:customStyle="1">
    <w:name w:val="Encabezado1"/>
    <w:basedOn w:val="Normal"/>
    <w:next w:val="Textoindependiente"/>
    <w:pPr>
      <w:keepNext w:val="1"/>
      <w:suppressAutoHyphens w:val="0"/>
      <w:spacing w:after="120" w:before="240" w:line="1" w:lineRule="atLeast"/>
    </w:pPr>
    <w:rPr>
      <w:rFonts w:ascii="Helvetica" w:cs="Lucidasans" w:eastAsia="HG Mincho Light J" w:hAnsi="Helvetica"/>
      <w:sz w:val="28"/>
      <w:szCs w:val="28"/>
      <w:lang w:eastAsia="ar-SA" w:val="es-ES"/>
    </w:rPr>
  </w:style>
  <w:style w:type="paragraph" w:styleId="Textoindependiente">
    <w:name w:val="Body Text"/>
    <w:basedOn w:val="Normal"/>
    <w:pPr>
      <w:suppressAutoHyphens w:val="0"/>
      <w:spacing w:line="1" w:lineRule="atLeast"/>
    </w:pPr>
    <w:rPr>
      <w:sz w:val="24"/>
      <w:lang w:eastAsia="ar-SA" w:val="es-ES"/>
    </w:rPr>
  </w:style>
  <w:style w:type="paragraph" w:styleId="Lista">
    <w:name w:val="List"/>
    <w:basedOn w:val="Textoindependiente"/>
    <w:rPr>
      <w:rFonts w:ascii="Times" w:cs="Lucidasans" w:hAnsi="Times"/>
    </w:rPr>
  </w:style>
  <w:style w:type="paragraph" w:styleId="Etiqueta" w:customStyle="1">
    <w:name w:val="Etiqueta"/>
    <w:basedOn w:val="Normal"/>
    <w:pPr>
      <w:suppressLineNumbers w:val="1"/>
      <w:suppressAutoHyphens w:val="0"/>
      <w:spacing w:after="120" w:before="120" w:line="1" w:lineRule="atLeast"/>
    </w:pPr>
    <w:rPr>
      <w:rFonts w:ascii="Times" w:cs="Lucidasans" w:hAnsi="Times"/>
      <w:i w:val="1"/>
      <w:iCs w:val="1"/>
      <w:sz w:val="24"/>
      <w:szCs w:val="24"/>
      <w:lang w:eastAsia="ar-SA" w:val="es-ES"/>
    </w:rPr>
  </w:style>
  <w:style w:type="paragraph" w:styleId="ndice" w:customStyle="1">
    <w:name w:val="Índice"/>
    <w:basedOn w:val="Normal"/>
    <w:pPr>
      <w:suppressLineNumbers w:val="1"/>
      <w:suppressAutoHyphens w:val="0"/>
      <w:spacing w:line="1" w:lineRule="atLeast"/>
    </w:pPr>
    <w:rPr>
      <w:rFonts w:ascii="Times" w:cs="Lucidasans" w:hAnsi="Times"/>
      <w:lang w:eastAsia="ar-SA" w:val="es-ES"/>
    </w:rPr>
  </w:style>
  <w:style w:type="paragraph" w:styleId="Sangradetextonormal">
    <w:name w:val="Body Text Indent"/>
    <w:basedOn w:val="Normal"/>
    <w:pPr>
      <w:suppressAutoHyphens w:val="0"/>
      <w:spacing w:line="1" w:lineRule="atLeast"/>
      <w:jc w:val="both"/>
    </w:pPr>
    <w:rPr>
      <w:b w:val="1"/>
      <w:sz w:val="24"/>
      <w:lang w:eastAsia="ar-SA" w:val="es-MX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  <w:suppressAutoHyphens w:val="0"/>
      <w:spacing w:line="1" w:lineRule="atLeast"/>
    </w:pPr>
    <w:rPr>
      <w:lang w:eastAsia="ar-SA" w:val="es-ES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uppressAutoHyphens w:val="0"/>
      <w:spacing w:line="1" w:lineRule="atLeast"/>
    </w:pPr>
    <w:rPr>
      <w:rFonts w:ascii="Verdana" w:hAnsi="Verdana"/>
      <w:sz w:val="24"/>
      <w:lang w:eastAsia="ar-SA" w:val="es-ES"/>
    </w:rPr>
  </w:style>
  <w:style w:type="paragraph" w:styleId="Epgrafe1" w:customStyle="1">
    <w:name w:val="Epígrafe1"/>
    <w:basedOn w:val="Normal"/>
    <w:next w:val="Normal"/>
    <w:pPr>
      <w:suppressAutoHyphens w:val="0"/>
      <w:spacing w:line="1" w:lineRule="atLeast"/>
      <w:jc w:val="right"/>
    </w:pPr>
    <w:rPr>
      <w:b w:val="1"/>
      <w:sz w:val="26"/>
      <w:lang w:eastAsia="ar-SA" w:val="es-ES"/>
    </w:rPr>
  </w:style>
  <w:style w:type="paragraph" w:styleId="Mapadeldocumento1" w:customStyle="1">
    <w:name w:val="Mapa del documento1"/>
    <w:basedOn w:val="Normal"/>
    <w:pPr>
      <w:shd w:color="auto" w:fill="000080" w:val="clear"/>
      <w:suppressAutoHyphens w:val="0"/>
      <w:spacing w:line="1" w:lineRule="atLeast"/>
    </w:pPr>
    <w:rPr>
      <w:rFonts w:ascii="Tahoma" w:cs="Tahoma" w:hAnsi="Tahoma"/>
      <w:lang w:eastAsia="ar-SA" w:val="es-ES"/>
    </w:rPr>
  </w:style>
  <w:style w:type="paragraph" w:styleId="Textodeglobo">
    <w:name w:val="Balloon Text"/>
    <w:basedOn w:val="Normal"/>
    <w:pPr>
      <w:suppressAutoHyphens w:val="0"/>
      <w:spacing w:line="1" w:lineRule="atLeast"/>
    </w:pPr>
    <w:rPr>
      <w:rFonts w:ascii="Tahoma" w:cs="Tahoma" w:hAnsi="Tahoma"/>
      <w:sz w:val="16"/>
      <w:szCs w:val="16"/>
      <w:lang w:eastAsia="ar-SA" w:val="es-ES"/>
    </w:rPr>
  </w:style>
  <w:style w:type="paragraph" w:styleId="Textosinformato">
    <w:name w:val="Plain Text"/>
    <w:basedOn w:val="Normal"/>
    <w:pPr>
      <w:suppressAutoHyphens w:val="0"/>
      <w:spacing w:line="1" w:lineRule="atLeast"/>
    </w:pPr>
    <w:rPr>
      <w:rFonts w:ascii="Courier New" w:hAnsi="Courier New"/>
      <w:lang w:eastAsia="ar-SA" w:val="es-ES"/>
    </w:rPr>
  </w:style>
  <w:style w:type="paragraph" w:styleId="Textoindependiente21" w:customStyle="1">
    <w:name w:val="Texto independiente 21"/>
    <w:basedOn w:val="Normal"/>
    <w:pPr>
      <w:suppressAutoHyphens w:val="0"/>
      <w:spacing w:line="1" w:lineRule="atLeast"/>
      <w:jc w:val="both"/>
    </w:pPr>
    <w:rPr>
      <w:bCs w:val="1"/>
      <w:sz w:val="24"/>
      <w:lang w:eastAsia="ar-SA" w:val="es-ES"/>
    </w:rPr>
  </w:style>
  <w:style w:type="paragraph" w:styleId="Textonotapie">
    <w:name w:val="footnote text"/>
    <w:basedOn w:val="Normal"/>
    <w:pPr>
      <w:suppressAutoHyphens w:val="0"/>
      <w:spacing w:line="1" w:lineRule="atLeast"/>
    </w:pPr>
    <w:rPr>
      <w:lang w:eastAsia="ar-SA" w:val="es-AR"/>
    </w:rPr>
  </w:style>
  <w:style w:type="paragraph" w:styleId="Textoindependiente2">
    <w:name w:val="Body Text 2"/>
    <w:basedOn w:val="Normal"/>
    <w:pPr>
      <w:suppressAutoHyphens w:val="0"/>
      <w:overflowPunct w:val="0"/>
      <w:autoSpaceDE w:val="0"/>
      <w:spacing w:line="1" w:lineRule="atLeast"/>
      <w:jc w:val="both"/>
      <w:textAlignment w:val="baseline"/>
    </w:pPr>
    <w:rPr>
      <w:rFonts w:ascii="AvantGarde Md BT" w:hAnsi="AvantGarde Md BT"/>
      <w:sz w:val="24"/>
      <w:lang w:eastAsia="ar-SA" w:val="es-ES"/>
    </w:rPr>
  </w:style>
  <w:style w:type="paragraph" w:styleId="Sangra2detindependiente1" w:customStyle="1">
    <w:name w:val="Sangría 2 de t. independiente1"/>
    <w:basedOn w:val="Normal"/>
    <w:pPr>
      <w:tabs>
        <w:tab w:val="left" w:pos="-720"/>
      </w:tabs>
      <w:suppressAutoHyphens w:val="0"/>
      <w:spacing w:line="360" w:lineRule="auto"/>
      <w:ind w:left="360" w:firstLine="0"/>
      <w:jc w:val="both"/>
    </w:pPr>
    <w:rPr>
      <w:rFonts w:ascii="Comic Sans MS" w:hAnsi="Comic Sans MS"/>
      <w:spacing w:val="-3"/>
      <w:sz w:val="24"/>
      <w:szCs w:val="24"/>
      <w:lang w:eastAsia="ar-SA" w:val="es-ES"/>
    </w:rPr>
  </w:style>
  <w:style w:type="paragraph" w:styleId="Textoindependiente31" w:customStyle="1">
    <w:name w:val="Texto independiente 31"/>
    <w:basedOn w:val="Normal"/>
    <w:pPr>
      <w:suppressAutoHyphens w:val="0"/>
      <w:spacing w:after="120" w:line="1" w:lineRule="atLeast"/>
    </w:pPr>
    <w:rPr>
      <w:sz w:val="16"/>
      <w:szCs w:val="16"/>
      <w:lang w:eastAsia="ar-SA" w:val="es-ES"/>
    </w:rPr>
  </w:style>
  <w:style w:type="paragraph" w:styleId="Contenidodelatabla" w:customStyle="1">
    <w:name w:val="Contenido de la tabla"/>
    <w:basedOn w:val="Normal"/>
    <w:pPr>
      <w:suppressLineNumbers w:val="1"/>
      <w:suppressAutoHyphens w:val="0"/>
      <w:spacing w:line="1" w:lineRule="atLeast"/>
    </w:pPr>
    <w:rPr>
      <w:lang w:eastAsia="ar-SA" w:val="es-ES"/>
    </w:rPr>
  </w:style>
  <w:style w:type="paragraph" w:styleId="Encabezadodelatabla" w:customStyle="1">
    <w:name w:val="Encabezado de la tabla"/>
    <w:basedOn w:val="Contenidodelatabla"/>
    <w:pPr>
      <w:jc w:val="center"/>
    </w:pPr>
    <w:rPr>
      <w:b w:val="1"/>
      <w:bCs w:val="1"/>
    </w:rPr>
  </w:style>
  <w:style w:type="table" w:styleId="Tablaconcuadrcula">
    <w:name w:val="Table Grid"/>
    <w:basedOn w:val="Tablanormal"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pPr>
      <w:spacing w:after="100" w:afterAutospacing="1" w:before="100" w:beforeAutospacing="1" w:line="1" w:lineRule="atLeast"/>
    </w:pPr>
    <w:rPr>
      <w:sz w:val="24"/>
      <w:szCs w:val="24"/>
      <w:lang w:val="es-ES"/>
    </w:rPr>
  </w:style>
  <w:style w:type="character" w:styleId="Textoennegrita" w:customStyle="1">
    <w:name w:val="Texto en negrita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character" w:styleId="Hipervnculovisitad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Prrafodelista">
    <w:name w:val="List Paragraph"/>
    <w:basedOn w:val="Normal"/>
    <w:pPr>
      <w:spacing w:after="200" w:line="276" w:lineRule="auto"/>
      <w:ind w:left="720"/>
      <w:contextualSpacing w:val="1"/>
    </w:pPr>
    <w:rPr>
      <w:lang w:eastAsia="en-US" w:val="es-ES"/>
    </w:rPr>
  </w:style>
  <w:style w:type="character" w:styleId="Refdenotaalpi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EncabezadoCar" w:customStyle="1">
    <w:name w:val="Encabezado Car"/>
    <w:rPr>
      <w:rFonts w:ascii="Verdana" w:hAnsi="Verdana"/>
      <w:w w:val="100"/>
      <w:position w:val="-1"/>
      <w:sz w:val="24"/>
      <w:effect w:val="none"/>
      <w:vertAlign w:val="baseline"/>
      <w:cs w:val="0"/>
      <w:em w:val="none"/>
      <w:lang w:eastAsia="ar-SA" w:val="es-ES"/>
    </w:r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WY1fKrnzKSqT53JbIspUOqV9tg==">CgMxLjA4AHIhMV80djF6TlFoNlBrblVWdS1wV09Bbm4yd2VVekNDRjZ3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2026-09-16T00:44:00Z</dcterms:created>
  <dc:creator>Sergio Merino</dc:creator>
</cp:coreProperties>
</file>