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margin" w:horzAnchor="margin" w:tblpX="0" w:tblpY="0"/>
        <w:tblW w:w="9214.0" w:type="dxa"/>
        <w:jc w:val="left"/>
        <w:tblLayout w:type="fixed"/>
        <w:tblLook w:val="00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</w:rPr>
              <w:drawing>
                <wp:inline distB="0" distT="0" distL="114300" distR="114300">
                  <wp:extent cx="3495675" cy="1304925"/>
                  <wp:effectExtent b="0" l="0" r="0" t="0"/>
                  <wp:docPr id="102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1304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Dirección General de Educación Superior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Instituto Superior de Formación Docente N° 803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Puerto Madryn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shd w:fill="000000" w:val="clear"/>
              <w:jc w:val="center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P R O G R A M A   2 0..Pro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Carrera:</w:t>
            </w:r>
          </w:p>
          <w:tbl>
            <w:tblPr>
              <w:tblStyle w:val="Table2"/>
              <w:tblW w:w="919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199"/>
              <w:tblGridChange w:id="0">
                <w:tblGrid>
                  <w:gridCol w:w="919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0F">
                  <w:pPr>
                    <w:rPr>
                      <w:rFonts w:ascii="Arial" w:cs="Arial" w:eastAsia="Arial" w:hAnsi="Arial"/>
                      <w:b w:val="0"/>
                      <w:bCs w:val="0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vertAlign w:val="baseline"/>
                      <w:rtl w:val="0"/>
                    </w:rPr>
                    <w:t xml:space="preserve">                           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rtl w:val="0"/>
                    </w:rPr>
                    <w:t xml:space="preserve">Profesorado de Educación Secundaria en Historia - Res. 547/19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Espacio curricular                                                         Equipo Docente</w:t>
            </w:r>
          </w:p>
          <w:tbl>
            <w:tblPr>
              <w:tblStyle w:val="Table3"/>
              <w:tblW w:w="919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599"/>
              <w:gridCol w:w="4600"/>
              <w:tblGridChange w:id="0">
                <w:tblGrid>
                  <w:gridCol w:w="4599"/>
                  <w:gridCol w:w="46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2">
                  <w:pPr>
                    <w:rPr>
                      <w:rFonts w:ascii="Arial" w:cs="Arial" w:eastAsia="Arial" w:hAnsi="Arial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Investigación Educativa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3">
                  <w:pPr>
                    <w:rPr>
                      <w:rFonts w:ascii="Arial" w:cs="Arial" w:eastAsia="Arial" w:hAnsi="Arial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14">
                  <w:pPr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Sofia Haller y Veronika Diaz Abrahan</w:t>
                  </w:r>
                </w:p>
              </w:tc>
            </w:tr>
          </w:tbl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0d0d0d" w:val="clear"/>
        <w:jc w:val="both"/>
        <w:rPr>
          <w:rFonts w:ascii="Arial" w:cs="Arial" w:eastAsia="Arial" w:hAnsi="Arial"/>
          <w:b w:val="0"/>
          <w:bCs w:val="0"/>
          <w:color w:val="ffffff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vertAlign w:val="baseline"/>
          <w:rtl w:val="0"/>
        </w:rPr>
        <w:t xml:space="preserve">1. FUNDAMENTACIÓN (Breve fundamentación destinada a los/as estudiantes; no es necesario incluir la fundamentación del proyecto con el cual se concursó)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Investigación Educativa es un seminario/taller anual de tercer año del Profesorado de Educación Secundaria en Historia que se brinda en el Instituto de Formación Docente N° 803 en la ciudad de Puerto Madryn. Como tal, se pretende mantener un eje regional en el uso de los materiales y un eje local situado en la realización de trabajos prácticos. En tal sentido, quien investiga lo hace desde su historia, su posición social, su formación y su marco institucional. A su vez, los fenómenos que se estudian se inscriben en contextos históricos, culturales, políticos y territoriales específicos. Por ello, se promueve una lectura que vincule teoría, práctica y territorio, reconociendo que los sentidos se producen en interacción y desde experiencias concretas locales y regionales. Se pretende que los y las estudiantes cobren conocimiento de las distintas investigaciones educativas que se producen en Chubut, Patagonia y Puerto Madryn.</w:t>
      </w:r>
    </w:p>
    <w:p w:rsidR="00000000" w:rsidDel="00000000" w:rsidP="00000000" w:rsidRDefault="00000000" w:rsidRPr="00000000" w14:paraId="00000019">
      <w:pPr>
        <w:spacing w:line="360" w:lineRule="auto"/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 propone transmitir herramientas teórico-metodológicas para el análisis crítico de investigaciones a fin de considerar el conocimiento construido y situado. El mismo brinda a las/os futuras/os docentes la posibilidad de apropiarse reflexivamente de sus resultados y procesos metodológicos, nutrir su actualización y formación permanente en el ejercicio de la profesión docente, así como también vislumbrar la inserción de docentes en equipos de investigación. </w:t>
      </w:r>
    </w:p>
    <w:p w:rsidR="00000000" w:rsidDel="00000000" w:rsidP="00000000" w:rsidRDefault="00000000" w:rsidRPr="00000000" w14:paraId="0000001B">
      <w:pPr>
        <w:spacing w:line="360" w:lineRule="auto"/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left="3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pareja pedagógica propuesta presenta recorrido, experiencia y antecedentes en Ciencias de la Historia, Ciencias Sociales y Humanas y proyectos de investigación vinculados a estrategias educativas. Ambas se encuentran actualmente trabajando en estas investigaciones, en otras instituciones de la ciudad y de la región. En este sentido, el proyecto se ha concebido para realizar articulaciones entre los estudiantes que cursen la asignatura y las prácticas de investigación, en curso o en proyección que las docentes emprenden.</w:t>
      </w:r>
    </w:p>
    <w:p w:rsidR="00000000" w:rsidDel="00000000" w:rsidP="00000000" w:rsidRDefault="00000000" w:rsidRPr="00000000" w14:paraId="0000001D">
      <w:pPr>
        <w:spacing w:line="360" w:lineRule="auto"/>
        <w:ind w:left="36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0d0d0d" w:val="clear"/>
        <w:jc w:val="both"/>
        <w:rPr>
          <w:rFonts w:ascii="Arial" w:cs="Arial" w:eastAsia="Arial" w:hAnsi="Arial"/>
          <w:b w:val="0"/>
          <w:bCs w:val="0"/>
          <w:color w:val="ffffff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vertAlign w:val="baseline"/>
          <w:rtl w:val="0"/>
        </w:rPr>
        <w:t xml:space="preserve">2.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Objetivo General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las/os estudiantes desarrollen competencias teórico-metodológicas necesarias para leer, comprender, diseñar, implementar, analizar y comunicar procesos de investigación social rigurosos, críticos y situados, orientados a la comprensión y transformación de las propias prácticas educativas.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Objetivos específicos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los participantes reflexionen críticamente acerca de las actividades de investigación, sus fundamentos y su impacto social. 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las/os estudiantes identifiquen y formulen problemas de investigación relevantes para el campo, articulando teoría, territorio y experiencia institucional.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Fomentar la lectura y la comprensión de publicaciones científicas sobre investigaciones educativas con implicancias sustantivas para la enseñanza y el aprendizaje.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Fomentar la capacidad reflexiva para generar diagnósticos sobre las situaciones áulicas cotidianas, y de esta forma transformarlas en problemas y preguntas de investigación.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los estudiantes incorporen las herramientas y contenidos de la materia en función de revisar sus propias prácticas docentes.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line="360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Fomentar la vinculación e integración a de investigación que trabajen sobre objetos sociales que devienen de procesos educativos. 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0d0d0d" w:val="clear"/>
        <w:jc w:val="both"/>
        <w:rPr>
          <w:rFonts w:ascii="Arial" w:cs="Arial" w:eastAsia="Arial" w:hAnsi="Arial"/>
          <w:b w:val="0"/>
          <w:bCs w:val="0"/>
          <w:color w:val="ffffff"/>
          <w:vertAlign w:val="baseline"/>
        </w:rPr>
      </w:pPr>
      <w:bookmarkStart w:colFirst="0" w:colLast="0" w:name="_heading=h.rywqirx15s86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vertAlign w:val="baseline"/>
          <w:rtl w:val="0"/>
        </w:rPr>
        <w:t xml:space="preserve">3. CONTENIDOS – BIBLIOGRAFÍA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1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Las  principales  discusiones  metodológicas  del  siglo  XX  en  las  Ciencias  Sociales,  la multiplicación de perspectivas y abordajes en la investigación educativa. Tradiciones y paradigmas en investigación.  El campo educacional argentino interrogado como campo científico. El rol del docente como investigador de su propia práctica. Investigación  y profesionalidad  situando  una  agenda  de  problemas  en  el  campo  de  la  práctica  docente.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2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Diferencia entre distintos géneros académicos y científicos: reseñas, papers, ensayos, etc. 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Lenguaje académico y estructura de un proyecto de investigación. Diferenciación entre proyectos pedagógicos – didácticos y de investigación. ¿Cómo se investiga en educación? Pasos a seguir. Características y particularidades de la Investigación Educativa. Lógicas presentes en la Investigación Educativa. Las prácticas docentes como eventos situados específicos para la propuesta de proyectos de investigación.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3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construcción de estados del arte y marcos teóricos en calidad de reivindicaciones de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conocimiento. Formulación de preguntas relevantes de investigación, objetivos e hipótesis. Tema-problema de investigación. Construcción, delimitación teórica y dimensionamiento del objeto de estudio. Herramientas para la búsqueda y selección de material bibliográfico y documental. Análisis de investigaciones afines a la formación específica, producidas por equipos locales, regionales e internacionales.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4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Diseño de investigación en educación: clasificación por objetivos. Investigaciones exploratorias, descriptivas, correlacionales, explicativas, experimentales. Introducción a los enfoques metodológicos: cuantitativo, cualitativo y mixto. Selección del diseño apropiado según el problema de investigación. Teoría fundamentada, diseño etnográfico, investigación acción (participativa), estudio de caso, narrativos, fenomenológicos. Validez, confiabilidad y rigor científico.</w:t>
      </w:r>
    </w:p>
    <w:p w:rsidR="00000000" w:rsidDel="00000000" w:rsidP="00000000" w:rsidRDefault="00000000" w:rsidRPr="00000000" w14:paraId="00000035">
      <w:pPr>
        <w:spacing w:after="240" w:before="240"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Unidad 5</w:t>
      </w:r>
    </w:p>
    <w:p w:rsidR="00000000" w:rsidDel="00000000" w:rsidP="00000000" w:rsidRDefault="00000000" w:rsidRPr="00000000" w14:paraId="00000036">
      <w:pPr>
        <w:spacing w:after="24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Técnicas de investigación cualitativas, cuantitativas y mixtas: técnica de muestreo, encuesta, entrevista, focus grupo, bola de nieve, cartografía social, relevamiento documental, registro etnográfico, observación y escucha participante. Historias de vida y relatos de vida. Uso del archivo. Uso de bitácoras. Registro, sistematización y análisis de la información en el trabajo de campo. Escritura y comunicación del proceso, avances y resultados. Formato y estilo de escritura académica APA (7ma edición).</w:t>
      </w:r>
    </w:p>
    <w:p w:rsidR="00000000" w:rsidDel="00000000" w:rsidP="00000000" w:rsidRDefault="00000000" w:rsidRPr="00000000" w14:paraId="00000037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Bibliografía por unidad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1</w:t>
      </w:r>
    </w:p>
    <w:p w:rsidR="00000000" w:rsidDel="00000000" w:rsidP="00000000" w:rsidRDefault="00000000" w:rsidRPr="00000000" w14:paraId="00000039">
      <w:pPr>
        <w:spacing w:after="24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Wainerman, C. (2011). Acerca de la formación de investigadores en ciencias sociales. En R. Sautu y C. Wainerman (Comp). La trastienda de la investigación. Manantial ediciones. </w:t>
      </w:r>
    </w:p>
    <w:p w:rsidR="00000000" w:rsidDel="00000000" w:rsidP="00000000" w:rsidRDefault="00000000" w:rsidRPr="00000000" w14:paraId="0000003A">
      <w:pPr>
        <w:spacing w:after="24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Carli, S. (2012). La investigación en educación en Argentina. Cuadernos de educación, (4).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Tenti Fanfani, Emilio. El campo de las Ciencias de la Educación. Elementos de teoría e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hipótesis para el análisis. Buenos Aires: Ficha de FYL. UBA. 198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Sautu Ruth (2011). Acerca de qué es y no es investigación científica en ciencias sociales. En R. Sautu y C. Wainerman (Comp). La trastienda de la investigación. Manantial ediciones.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2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Becker, H. (2012).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Manual de escritura para científicos sociales. Cómo empezar y terminar una tesis, un libro o un artículo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Buenos Aires, Siglo XXI, 2012.</w:t>
      </w:r>
    </w:p>
    <w:p w:rsidR="00000000" w:rsidDel="00000000" w:rsidP="00000000" w:rsidRDefault="00000000" w:rsidRPr="00000000" w14:paraId="00000040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Porta, L., &amp; Silva, M. (2003). La investigación cualitativa: El Análisis de Contenido en la investigación educativa.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Anuario digital de investigación educativa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(14).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3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Guevara Patiño, R., (2016). El estado del arte en la investigación: ¿análisis de los conocimientos acumulados o indagación por nuevos sentidos?. Revista Folios, (44), 165-179.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Marinis, E. P. (2020). Revisión de antecedentes (RA), estado del arte (EA) y marco teórico (MT). En C. Wainerman.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En estado de tesis: Cómo elaborar el proyecto de tesis en ciencias sociales.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Manantial Editorial. </w:t>
      </w:r>
    </w:p>
    <w:p w:rsidR="00000000" w:rsidDel="00000000" w:rsidP="00000000" w:rsidRDefault="00000000" w:rsidRPr="00000000" w14:paraId="00000044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Complementarios: 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Sautu, R.; Boniolo, P.; Dalle, P.; Elbert, R. (2005). Recomendaciones para la redacción del marco teórico.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En Manual de metodología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.Lumiere.</w:t>
      </w:r>
    </w:p>
    <w:p w:rsidR="00000000" w:rsidDel="00000000" w:rsidP="00000000" w:rsidRDefault="00000000" w:rsidRPr="00000000" w14:paraId="00000047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Mora, A. M. M. (2014). La investigación en educación social. Una propuesta orientada a la formación de estudiantes universitarios. Edetania. Estudios y propuestas socioeducativos., (45), 189-200.</w:t>
      </w:r>
    </w:p>
    <w:p w:rsidR="00000000" w:rsidDel="00000000" w:rsidP="00000000" w:rsidRDefault="00000000" w:rsidRPr="00000000" w14:paraId="00000048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4</w:t>
      </w:r>
    </w:p>
    <w:p w:rsidR="00000000" w:rsidDel="00000000" w:rsidP="00000000" w:rsidRDefault="00000000" w:rsidRPr="00000000" w14:paraId="0000004A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Sautun, R. (2000). Métodos Cuantitativos y Cuantitativos en Investigación Educativa. Boletín de la Academia Nacional de Educación. 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Mendizábal, N. (2018). La osadía en la investigación: el uso de los Métodos Mixtos en las ciencias sociales. Espacio Abierto Cuaderno Venezolano de sociología, 27(2), 5-20.</w:t>
      </w:r>
      <w:hyperlink r:id="rId8">
        <w:r w:rsidDel="00000000" w:rsidR="00000000" w:rsidRPr="00000000">
          <w:rPr>
            <w:rFonts w:ascii="Arial" w:cs="Arial" w:eastAsia="Arial" w:hAnsi="Arial"/>
            <w:sz w:val="22"/>
            <w:szCs w:val="22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https://ri.conicet.gov.ar/handle/11336/888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Salgado, L. (2007). Investigación cualitativa: diseños, evaluación del rigor metodológico y retos. Liberabit, 13, 71-78.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Complementarios: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Bourdieu, P. (1999). Comprender. La miseria del mundo. Fondo de Cultura Económica. </w:t>
      </w:r>
    </w:p>
    <w:p w:rsidR="00000000" w:rsidDel="00000000" w:rsidP="00000000" w:rsidRDefault="00000000" w:rsidRPr="00000000" w14:paraId="0000004F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Sampieri, R. H., Fernández Collado, C. y Baptista Lucio, P. (2008). Capítulo 12 y 14. En Metodología de la Investigación (4ª ed.). McGraw-Hill.</w:t>
      </w:r>
    </w:p>
    <w:p w:rsidR="00000000" w:rsidDel="00000000" w:rsidP="00000000" w:rsidRDefault="00000000" w:rsidRPr="00000000" w14:paraId="00000050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Unidad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Castillo, G. M. (2021). Estrategias de publicación científica de docentes-investigadores/as de la UNSAM: coautorías y tránsitos en bases indexadoras; Universidad Nacional de San Juan. Facultad de Ciencias Sociales.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Instituto de Investigaciones Socio Económicas; RevIISE; 18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18,  27-45. </w:t>
      </w:r>
    </w:p>
    <w:p w:rsidR="00000000" w:rsidDel="00000000" w:rsidP="00000000" w:rsidRDefault="00000000" w:rsidRPr="00000000" w14:paraId="00000053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Frederic, S. (2000). De reunión en reunión: la observación participante en el conocimiento etnográfico de procesos políticos urbanos.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Horizontes Antropológicos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6(13),195-216.</w:t>
      </w:r>
    </w:p>
    <w:p w:rsidR="00000000" w:rsidDel="00000000" w:rsidP="00000000" w:rsidRDefault="00000000" w:rsidRPr="00000000" w14:paraId="00000054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Kornblit, Ana Lía “Historias y relatos de vida: una herramienta clave en metodologías cualitativas”, en Kornblit, Ana Lía (comp.)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Metodologías Cualitativas en ciencias sociales. Modelos y procedimientos de análisis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Buenos Aires, Ed. Biblios, 2004. Cap. 1. </w:t>
      </w:r>
    </w:p>
    <w:p w:rsidR="00000000" w:rsidDel="00000000" w:rsidP="00000000" w:rsidRDefault="00000000" w:rsidRPr="00000000" w14:paraId="00000055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Roussos, J. S. y Andres,  J. (2010). El focus group como técnica de investigación cualitativa; Universidad de Belgrano.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Departamento de Investigaciones; Documentos de trabajo; 254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7, 1-12. https://ri.conicet.gov.ar/handle/11336/189673</w:t>
      </w:r>
    </w:p>
    <w:p w:rsidR="00000000" w:rsidDel="00000000" w:rsidP="00000000" w:rsidRDefault="00000000" w:rsidRPr="00000000" w14:paraId="00000056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Valles, M.(1997).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Técnicas cualitativas de investigación social. Reflexión metodológica y práctica profesional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(Cap. 4). Síntesis. </w:t>
      </w:r>
    </w:p>
    <w:p w:rsidR="00000000" w:rsidDel="00000000" w:rsidP="00000000" w:rsidRDefault="00000000" w:rsidRPr="00000000" w14:paraId="00000057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Bibliografía complementaria y tentativa para la realización de los trabajos prácticos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Carrizo, G. (2009). Educación y masculinidad en un Colegio técnico de la Patagonia argentina: el caso de los salesianos en Comodoro Rivadavia durante la primera mitad del siglo XX. cpu-e, Revista de Investigación Educativa, (9), 1-22.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Dagal, M. A. (2012). Estado, escuela y transformaciones sociales. Un estudio con maestras en la Patagonia. Cuadernos de Educación, (8).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Aguirre, Jonathan Ezequiel; Políticas de educación docente situadas: una necesidad para la disputa de sentidos; Universidad Nacional de Mar del Plata. Facultad de Humanidades; Revista de Educación; 17; 6-2019; 7-12.</w:t>
      </w:r>
    </w:p>
    <w:p w:rsidR="00000000" w:rsidDel="00000000" w:rsidP="00000000" w:rsidRDefault="00000000" w:rsidRPr="00000000" w14:paraId="0000005C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Funes, G., &amp; Muñoz, M. E. (2018). Investigación e historias recientes enseñadas en la Nord Patagonia.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Historia y MEMORIA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(17), 125-151.</w:t>
      </w:r>
    </w:p>
    <w:p w:rsidR="00000000" w:rsidDel="00000000" w:rsidP="00000000" w:rsidRDefault="00000000" w:rsidRPr="00000000" w14:paraId="0000005D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Gago, M. A., Fuentes, R. B., &amp; Baeza, B. N. (2020). Aportes para pensar la educación secundaria en contextos migratorios en la Cuenca del Golfo San Jorge-Patagonia.</w:t>
      </w:r>
    </w:p>
    <w:p w:rsidR="00000000" w:rsidDel="00000000" w:rsidP="00000000" w:rsidRDefault="00000000" w:rsidRPr="00000000" w14:paraId="0000005E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Juarez, S., &amp; Arauz Iusef, F. (2024). La política educativa y los procesos formativos de les docentes en la trama de las luchas socioecoterritoriales en la Patagonia del siglo XXI.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Revista Argentina de Produccion Animal;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37 (1); 41-46.</w:t>
      </w:r>
    </w:p>
    <w:p w:rsidR="00000000" w:rsidDel="00000000" w:rsidP="00000000" w:rsidRDefault="00000000" w:rsidRPr="00000000" w14:paraId="0000005F">
      <w:pPr>
        <w:spacing w:after="240" w:before="240"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Suárez, D. H. (2014). Espacio (auto) biográfico, investigación educativa y formación docente en Argentina: un mapa imperfecto de un territorio en expansión. Revista mexicana de investigación educativa, 19(62), 762-786.</w:t>
      </w:r>
    </w:p>
    <w:p w:rsidR="00000000" w:rsidDel="00000000" w:rsidP="00000000" w:rsidRDefault="00000000" w:rsidRPr="00000000" w14:paraId="00000060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Román, E. B. (2015). El turismo y la recreación educativa como herramientas para la valoración de los recursos locales. Caso de estudio Puerto Madryn.</w:t>
      </w:r>
    </w:p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0d0d0d" w:val="clear"/>
        <w:jc w:val="both"/>
        <w:rPr>
          <w:rFonts w:ascii="Arial" w:cs="Arial" w:eastAsia="Arial" w:hAnsi="Arial"/>
          <w:b w:val="0"/>
          <w:bCs w:val="0"/>
          <w:color w:val="ffffff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vertAlign w:val="baseline"/>
          <w:rtl w:val="0"/>
        </w:rPr>
        <w:t xml:space="preserve">4. EVALUACIÓN – ACREDITACIÓN (CONDICIONES DE ALUMNO REGULAR Y LIBRE)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0d0d0d" w:val="clear"/>
        <w:jc w:val="both"/>
        <w:rPr>
          <w:rFonts w:ascii="Arial" w:cs="Arial" w:eastAsia="Arial" w:hAnsi="Arial"/>
          <w:b w:val="0"/>
          <w:bCs w:val="0"/>
          <w:color w:val="ffffff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3"/>
        </w:numPr>
        <w:tabs>
          <w:tab w:val="left" w:leader="none" w:pos="1728"/>
        </w:tabs>
        <w:spacing w:after="120" w:before="120" w:lineRule="auto"/>
        <w:ind w:left="0" w:firstLine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33" w:line="360" w:lineRule="auto"/>
        <w:ind w:left="370" w:hanging="10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Evaluación de la cursada</w:t>
      </w:r>
    </w:p>
    <w:p w:rsidR="00000000" w:rsidDel="00000000" w:rsidP="00000000" w:rsidRDefault="00000000" w:rsidRPr="00000000" w14:paraId="00000066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línea con el Reglamento Académico Marco, se plantean los siguientes requisitos para la regularización y/o promoción final. </w:t>
      </w:r>
    </w:p>
    <w:p w:rsidR="00000000" w:rsidDel="00000000" w:rsidP="00000000" w:rsidRDefault="00000000" w:rsidRPr="00000000" w14:paraId="00000067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Participación en clase y en trabajos prácticos</w:t>
      </w:r>
    </w:p>
    <w:p w:rsidR="00000000" w:rsidDel="00000000" w:rsidP="00000000" w:rsidRDefault="00000000" w:rsidRPr="00000000" w14:paraId="00000068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Elaboración de trabajos prácticos (cada uno con su recuperatorio) y la aprobación del 70%.</w:t>
      </w:r>
    </w:p>
    <w:p w:rsidR="00000000" w:rsidDel="00000000" w:rsidP="00000000" w:rsidRDefault="00000000" w:rsidRPr="00000000" w14:paraId="00000069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Aprobación de un primer examen escrito </w:t>
      </w:r>
    </w:p>
    <w:p w:rsidR="00000000" w:rsidDel="00000000" w:rsidP="00000000" w:rsidRDefault="00000000" w:rsidRPr="00000000" w14:paraId="0000006A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Aprobación de un segundo examen oral que puede integrar la defensa de un proyecto de investigación orientado a la educación. </w:t>
      </w:r>
    </w:p>
    <w:p w:rsidR="00000000" w:rsidDel="00000000" w:rsidP="00000000" w:rsidRDefault="00000000" w:rsidRPr="00000000" w14:paraId="0000006B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Para la regularización de la materia, con examen final, es necesario contar con una asistencia a clase del 70%. Asimismo se requiere obtener una calificación de 4 (cuatro) o más en cada examen.</w:t>
      </w:r>
    </w:p>
    <w:p w:rsidR="00000000" w:rsidDel="00000000" w:rsidP="00000000" w:rsidRDefault="00000000" w:rsidRPr="00000000" w14:paraId="0000006C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Para la promoción directa, sin examen final es necesario contar con una asistencia a clase del 80%. Asimismo se requiere obtener una calificación de 7 (siete) o más en cada examen.</w:t>
      </w:r>
    </w:p>
    <w:p w:rsidR="00000000" w:rsidDel="00000000" w:rsidP="00000000" w:rsidRDefault="00000000" w:rsidRPr="00000000" w14:paraId="0000006D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El examen final podrá ser escrito u oral.</w:t>
      </w:r>
    </w:p>
    <w:p w:rsidR="00000000" w:rsidDel="00000000" w:rsidP="00000000" w:rsidRDefault="00000000" w:rsidRPr="00000000" w14:paraId="0000006E">
      <w:pPr>
        <w:spacing w:after="33" w:line="360" w:lineRule="auto"/>
        <w:ind w:left="370" w:hanging="1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Arial" w:cs="Arial" w:eastAsia="Arial" w:hAnsi="Arial"/>
          <w:vertAlign w:val="baseline"/>
        </w:rPr>
      </w:pPr>
      <w:bookmarkStart w:colFirst="0" w:colLast="0" w:name="_heading=h.65grh6xhish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7" w:w="11905" w:orient="portrait"/>
      <w:pgMar w:bottom="1418" w:top="1418" w:left="1418" w:right="1418" w:header="720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 xml:space="preserve">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numPr>
        <w:ilvl w:val="1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es-MX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0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Arial" w:eastAsia="Arial Unicode MS" w:hAnsi="Arial"/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hd w:color="auto" w:fill="e6e6e6" w:val="clear"/>
      <w:suppressAutoHyphens w:val="1"/>
      <w:spacing w:after="227" w:before="227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color w:val="00000a"/>
      <w:w w:val="100"/>
      <w:position w:val="-1"/>
      <w:sz w:val="30"/>
      <w:szCs w:val="24"/>
      <w:effect w:val="none"/>
      <w:vertAlign w:val="baseline"/>
      <w:cs w:val="0"/>
      <w:em w:val="none"/>
      <w:lang w:bidi="hi-IN" w:eastAsia="zh-CN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Wingdings" w:hAnsi="Wingdings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b w:val="0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Wingdings" w:hAnsi="Wingdings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Comic Sans MS" w:hAnsi="Comic Sans MS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Wingdings" w:hAnsi="Wingdings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9z3">
    <w:name w:val="WW8Num19z3"/>
    <w:next w:val="WW8Num19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9z2">
    <w:name w:val="WW8Num29z2"/>
    <w:next w:val="WW8Num29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0z3">
    <w:name w:val="WW8Num30z3"/>
    <w:next w:val="WW8Num30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2z1">
    <w:name w:val="WW8Num32z1"/>
    <w:next w:val="WW8Num3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2z2">
    <w:name w:val="WW8Num32z2"/>
    <w:next w:val="WW8Num32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4z1">
    <w:name w:val="WW8Num34z1"/>
    <w:next w:val="WW8Num3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5z3">
    <w:name w:val="WW8Num35z3"/>
    <w:next w:val="WW8Num35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9z0">
    <w:name w:val="WW8Num39z0"/>
    <w:next w:val="WW8Num39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4z0">
    <w:name w:val="WW8Num44z0"/>
    <w:next w:val="WW8Num44z0"/>
    <w:autoRedefine w:val="0"/>
    <w:hidden w:val="0"/>
    <w:qFormat w:val="0"/>
    <w:rPr>
      <w:rFonts w:ascii="Wingdings" w:hAnsi="Wingdings"/>
      <w:b w:val="0"/>
      <w:i w:val="0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Fuentedepárrafopredeter.1">
    <w:name w:val="Fuente de párrafo predeter.1"/>
    <w:next w:val="Fuentedepárrafopredeter.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úmerodepágina">
    <w:name w:val="Número de página"/>
    <w:basedOn w:val="Fuentedepárrafopredeter.1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ímbolodenotaalpie">
    <w:name w:val="Símbolo de nota al pie"/>
    <w:next w:val="Símbolo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MáquinadeescribirHTML">
    <w:name w:val="Máquina de escribir HTML"/>
    <w:next w:val="MáquinadeescribirHTML"/>
    <w:autoRedefine w:val="0"/>
    <w:hidden w:val="0"/>
    <w:qFormat w:val="0"/>
    <w:rPr>
      <w:rFonts w:ascii="Courier New" w:cs="Courier New" w:eastAsia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Encabezado1">
    <w:name w:val="Encabezado1"/>
    <w:basedOn w:val="Normal"/>
    <w:next w:val="Textoindependiente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Lucidasans" w:eastAsia="HG Mincho Light J" w:hAnsi="Helvetica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ar-SA" w:val="es-ES"/>
    </w:rPr>
  </w:style>
  <w:style w:type="paragraph" w:styleId="Lista">
    <w:name w:val="Lista"/>
    <w:basedOn w:val="Textoindependiente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cs="Lucidasans" w:hAnsi="Times"/>
      <w:w w:val="100"/>
      <w:position w:val="-1"/>
      <w:sz w:val="24"/>
      <w:effect w:val="none"/>
      <w:vertAlign w:val="baseline"/>
      <w:cs w:val="0"/>
      <w:em w:val="none"/>
      <w:lang w:bidi="ar-SA" w:eastAsia="ar-SA" w:val="es-ES"/>
    </w:rPr>
  </w:style>
  <w:style w:type="paragraph" w:styleId="Etiqueta">
    <w:name w:val="Etiqueta"/>
    <w:basedOn w:val="Normal"/>
    <w:next w:val="Etiquet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" w:cs="Lucidasans" w:hAnsi="Times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" w:cs="Lucidasans" w:hAnsi="Times"/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ar-SA" w:val="es-MX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hAnsi="Verdana"/>
      <w:w w:val="100"/>
      <w:position w:val="-1"/>
      <w:sz w:val="24"/>
      <w:effect w:val="none"/>
      <w:vertAlign w:val="baseline"/>
      <w:cs w:val="0"/>
      <w:em w:val="none"/>
      <w:lang w:bidi="ar-SA" w:eastAsia="ar-SA" w:val="es-ES"/>
    </w:rPr>
  </w:style>
  <w:style w:type="paragraph" w:styleId="Epígrafe1">
    <w:name w:val="Epígrafe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b w:val="1"/>
      <w:w w:val="100"/>
      <w:position w:val="-1"/>
      <w:sz w:val="26"/>
      <w:effect w:val="none"/>
      <w:vertAlign w:val="baseline"/>
      <w:cs w:val="0"/>
      <w:em w:val="none"/>
      <w:lang w:bidi="ar-SA" w:eastAsia="ar-SA" w:val="es-ES"/>
    </w:rPr>
  </w:style>
  <w:style w:type="paragraph" w:styleId="Mapadeldocumento1">
    <w:name w:val="Mapa del documento1"/>
    <w:basedOn w:val="Normal"/>
    <w:next w:val="Mapadeldocumento1"/>
    <w:autoRedefine w:val="0"/>
    <w:hidden w:val="0"/>
    <w:qFormat w:val="0"/>
    <w:pPr>
      <w:shd w:color="auto" w:fill="000080" w:val="clear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es-ES"/>
    </w:rPr>
  </w:style>
  <w:style w:type="paragraph" w:styleId="PlainText">
    <w:name w:val="Plain Text"/>
    <w:basedOn w:val="Normal"/>
    <w:next w:val="PlainText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paragraph" w:styleId="Textoindependiente21">
    <w:name w:val="Texto independiente 21"/>
    <w:basedOn w:val="Normal"/>
    <w:next w:val="Textoindependiente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Cs w:val="1"/>
      <w:w w:val="100"/>
      <w:position w:val="-1"/>
      <w:sz w:val="24"/>
      <w:effect w:val="none"/>
      <w:vertAlign w:val="baseline"/>
      <w:cs w:val="0"/>
      <w:em w:val="none"/>
      <w:lang w:bidi="ar-SA" w:eastAsia="ar-SA" w:val="es-ES"/>
    </w:rPr>
  </w:style>
  <w:style w:type="paragraph" w:styleId="Textonotapie">
    <w:name w:val="Texto nota pie"/>
    <w:basedOn w:val="Normal"/>
    <w:next w:val="Textonotapi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ar-SA" w:val="es-AR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0"/>
      <w:overflowPunct w:val="0"/>
      <w:autoSpaceDE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AvantGarde Md BT" w:hAnsi="AvantGarde Md BT"/>
      <w:w w:val="100"/>
      <w:position w:val="-1"/>
      <w:sz w:val="24"/>
      <w:effect w:val="none"/>
      <w:vertAlign w:val="baseline"/>
      <w:cs w:val="0"/>
      <w:em w:val="none"/>
      <w:lang w:bidi="ar-SA" w:eastAsia="ar-SA" w:val="es-ES"/>
    </w:rPr>
  </w:style>
  <w:style w:type="paragraph" w:styleId="Sangría2det.independiente1">
    <w:name w:val="Sangría 2 de t. independiente1"/>
    <w:basedOn w:val="Normal"/>
    <w:next w:val="Sangría2det.independiente1"/>
    <w:autoRedefine w:val="0"/>
    <w:hidden w:val="0"/>
    <w:qFormat w:val="0"/>
    <w:pPr>
      <w:tabs>
        <w:tab w:val="left" w:leader="none" w:pos="-720"/>
      </w:tabs>
      <w:suppressAutoHyphens w:val="0"/>
      <w:spacing w:line="360" w:lineRule="auto"/>
      <w:ind w:left="360" w:right="0" w:leftChars="-1" w:rightChars="0" w:firstLine="0" w:firstLineChars="-1"/>
      <w:jc w:val="both"/>
      <w:textDirection w:val="btLr"/>
      <w:textAlignment w:val="top"/>
      <w:outlineLvl w:val="0"/>
    </w:pPr>
    <w:rPr>
      <w:rFonts w:ascii="Comic Sans MS" w:hAnsi="Comic Sans MS"/>
      <w:spacing w:val="-3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s-ES"/>
    </w:rPr>
  </w:style>
  <w:style w:type="paragraph" w:styleId="Textoindependiente31">
    <w:name w:val="Texto independiente 31"/>
    <w:basedOn w:val="Normal"/>
    <w:next w:val="Textoindependiente31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es-ES"/>
    </w:rPr>
  </w:style>
  <w:style w:type="paragraph" w:styleId="Contenidodelatabla">
    <w:name w:val="Contenido de la tabla"/>
    <w:basedOn w:val="Normal"/>
    <w:next w:val="Contenidodelatab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paragraph" w:styleId="Encabezadodelatabla">
    <w:name w:val="Encabezado de la tabla"/>
    <w:basedOn w:val="Contenidodelatabla"/>
    <w:next w:val="Encabezadodelatab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ipervínculovisitado">
    <w:name w:val="Hipervínculo visitado"/>
    <w:next w:val="Hipervínculo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Título4Car">
    <w:name w:val="Título 4 Car"/>
    <w:next w:val="Título4Car"/>
    <w:autoRedefine w:val="0"/>
    <w:hidden w:val="0"/>
    <w:qFormat w:val="0"/>
    <w:rPr>
      <w:b w:val="1"/>
      <w:bCs w:val="1"/>
      <w:color w:val="00000a"/>
      <w:w w:val="100"/>
      <w:position w:val="-1"/>
      <w:sz w:val="30"/>
      <w:szCs w:val="24"/>
      <w:effect w:val="none"/>
      <w:shd w:color="auto" w:fill="e6e6e6" w:val="clear"/>
      <w:vertAlign w:val="baseline"/>
      <w:cs w:val="0"/>
      <w:em w:val="none"/>
      <w:lang w:bidi="hi-IN" w:eastAsia="zh-CN" w:val="es-ES"/>
    </w:rPr>
  </w:style>
  <w:style w:type="paragraph" w:styleId="Sangría2det.independiente">
    <w:name w:val="Sangría 2 de t. independiente"/>
    <w:basedOn w:val="Normal"/>
    <w:next w:val="Sangría2det.independiente"/>
    <w:autoRedefine w:val="0"/>
    <w:hidden w:val="0"/>
    <w:qFormat w:val="0"/>
    <w:pPr>
      <w:suppressAutoHyphens w:val="0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character" w:styleId="Sangría2det.independienteCar">
    <w:name w:val="Sangría 2 de t. independiente Car"/>
    <w:next w:val="Sangría2det.independient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 w:val="es-ES"/>
    </w:rPr>
  </w:style>
  <w:style w:type="character" w:styleId="Ref.decomentario">
    <w:name w:val="Ref. de comentario"/>
    <w:next w:val="Ref.decomentari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ar-SA" w:val="es-ES"/>
    </w:rPr>
  </w:style>
  <w:style w:type="paragraph" w:styleId="Asuntodelcomentario">
    <w:name w:val="Asunto del comentario"/>
    <w:basedOn w:val="Textocomentario"/>
    <w:next w:val="Textocomentari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ar-SA" w:val="es-ES"/>
    </w:rPr>
  </w:style>
  <w:style w:type="character" w:styleId="AsuntodelcomentarioCar">
    <w:name w:val="Asunto del comentario Car"/>
    <w:next w:val="AsuntodelcomentarioC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ar-SA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ri.conicet.gov.ar/handle/11336/88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ri.conicet.gov.ar/handle/11336/88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s/RFP78K18GlSfGJt09JFcBTA==">CgMxLjAyDmgucnl3cWlyeDE1czg2Mg5oLjY1Z3JoNnhoaXNobzgAciExRnl4RDlGbG5ZY1E5RG5obnN4d3BJNTVTZkIwRGZYZUI=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2024-05-11T01:23:00Z</dcterms:created>
  <dc:creator>Sergio Merino</dc:creator>
</cp:coreProperties>
</file>