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margin" w:horzAnchor="margin" w:tblpX="0" w:tblpY="0"/>
        <w:tblW w:w="9214.0" w:type="dxa"/>
        <w:jc w:val="left"/>
        <w:tblLayout w:type="fixed"/>
        <w:tblLook w:val="00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</w:rPr>
              <w:drawing>
                <wp:inline distB="0" distT="0" distL="114300" distR="114300">
                  <wp:extent cx="3495675" cy="1304925"/>
                  <wp:effectExtent b="0" l="0" r="0" t="0"/>
                  <wp:docPr id="102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5675" cy="13049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Dirección General de Educación Superior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Instituto Superior de Formación Docente N° 803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Puerto Madryn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shd w:fill="000000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P R O G R A M A   2 025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Carrera:</w:t>
            </w:r>
          </w:p>
          <w:tbl>
            <w:tblPr>
              <w:tblStyle w:val="Table2"/>
              <w:tblW w:w="9199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9199"/>
              <w:tblGridChange w:id="0">
                <w:tblGrid>
                  <w:gridCol w:w="919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0F">
                  <w:pPr>
                    <w:rPr>
                      <w:rFonts w:ascii="Arial" w:cs="Arial" w:eastAsia="Arial" w:hAnsi="Arial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vertAlign w:val="baseline"/>
                      <w:rtl w:val="0"/>
                    </w:rPr>
                    <w:t xml:space="preserve">   Profesorado de Educación Inicial                          RES N° 327/22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Espacio curricular                                                         Equipo Docente</w:t>
            </w:r>
          </w:p>
          <w:tbl>
            <w:tblPr>
              <w:tblStyle w:val="Table3"/>
              <w:tblW w:w="9199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4599"/>
              <w:gridCol w:w="4600"/>
              <w:tblGridChange w:id="0">
                <w:tblGrid>
                  <w:gridCol w:w="4599"/>
                  <w:gridCol w:w="460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12">
                  <w:pPr>
                    <w:rPr>
                      <w:rFonts w:ascii="Arial" w:cs="Arial" w:eastAsia="Arial" w:hAnsi="Arial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3">
                  <w:pPr>
                    <w:rPr>
                      <w:rFonts w:ascii="Arial" w:cs="Arial" w:eastAsia="Arial" w:hAnsi="Arial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vertAlign w:val="baseline"/>
                      <w:rtl w:val="0"/>
                    </w:rPr>
                    <w:t xml:space="preserve">Sistematización de Experiencias Pedagógicas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14">
                  <w:pPr>
                    <w:rPr>
                      <w:rFonts w:ascii="Arial" w:cs="Arial" w:eastAsia="Arial" w:hAnsi="Arial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vertAlign w:val="baseline"/>
                      <w:rtl w:val="0"/>
                    </w:rPr>
                    <w:t xml:space="preserve">Ana Mariel Weinstock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5">
                  <w:pPr>
                    <w:rPr>
                      <w:rFonts w:ascii="Arial" w:cs="Arial" w:eastAsia="Arial" w:hAnsi="Arial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vertAlign w:val="baseline"/>
                      <w:rtl w:val="0"/>
                    </w:rPr>
                    <w:t xml:space="preserve">Giselle García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0d0d0d" w:val="clear"/>
        <w:jc w:val="both"/>
        <w:rPr>
          <w:rFonts w:ascii="Arial" w:cs="Arial" w:eastAsia="Arial" w:hAnsi="Arial"/>
          <w:b w:val="0"/>
          <w:color w:val="ffffff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ffffff"/>
          <w:vertAlign w:val="baseline"/>
          <w:rtl w:val="0"/>
        </w:rPr>
        <w:t xml:space="preserve">1. FUNDAMENTACIÓN (Breve fundamentación destinada a los/as estudiantes; no es necesario incluir la fundamentación del proyecto con el cual se concursó)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1A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El espacio curricular tiene como propósito dar a conocer, poner en debate y promover la apropiación de estrategias de formación docente centradas en la sistematización y la documentación narrativa de experiencias pedagógicas. </w:t>
      </w:r>
    </w:p>
    <w:p w:rsidR="00000000" w:rsidDel="00000000" w:rsidP="00000000" w:rsidRDefault="00000000" w:rsidRPr="00000000" w14:paraId="0000001B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Esta sistematización de experiencias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supone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una modalidad específica de trabajo pedagógico entre pares que promueve procesos de reflexión crítica, es decir una movilización cognitiva y política.  Por lo tanto, no es la intención sistematizar las experiencias solo por conocer lo que ocurre o ha sucedido, sino para cuestionar y comprender el sentido de los acontecimientos, produciendo saberes que guían la acción transformadora. </w:t>
      </w:r>
    </w:p>
    <w:p w:rsidR="00000000" w:rsidDel="00000000" w:rsidP="00000000" w:rsidRDefault="00000000" w:rsidRPr="00000000" w14:paraId="0000001C">
      <w:pPr>
        <w:ind w:firstLine="58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Los saberes pedagógicos producidos por la sistematización de experiencias implican realizar una teorización desde la práctica, sobre la práctica y en función de la práctica. </w:t>
      </w:r>
    </w:p>
    <w:p w:rsidR="00000000" w:rsidDel="00000000" w:rsidP="00000000" w:rsidRDefault="00000000" w:rsidRPr="00000000" w14:paraId="0000001D">
      <w:pPr>
        <w:ind w:firstLine="58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El hacer pública la sistematización de experiencias es fundamental para visibilizar y valorar los saberes producidos en la práctica docente. A su vez, permite el empoderamiento colectivo de los/as educadores/as. </w:t>
      </w:r>
    </w:p>
    <w:p w:rsidR="00000000" w:rsidDel="00000000" w:rsidP="00000000" w:rsidRDefault="00000000" w:rsidRPr="00000000" w14:paraId="0000001E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Dado que toda formación es inconclusa y que no es formativa la mera experiencia sino la reflexión sobre la misma, proponemos invitar a los/las estudiantes a sistematizar prácticas y reconstruir la memoria de residencia mediante la producción individual y colectiva de relatos. El decir con las propias voces y escribir con las propias palabras posibilita a los/as enseñantes/residentes una permanente apropiación y resignificación de sus propias experiencias. La propuesta requiere habilitar la lectura y escritura de relatos pedagógicos que puedan ser comunicables y compartidos,</w:t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0d0d0d" w:val="clear"/>
        <w:jc w:val="both"/>
        <w:rPr>
          <w:rFonts w:ascii="Arial" w:cs="Arial" w:eastAsia="Arial" w:hAnsi="Arial"/>
          <w:b w:val="0"/>
          <w:color w:val="ffffff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ffffff"/>
          <w:vertAlign w:val="baseline"/>
          <w:rtl w:val="0"/>
        </w:rPr>
        <w:t xml:space="preserve">2. OBJETIVOS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16" w:firstLine="0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16" w:firstLine="0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Brindar a las estudiantes un encuadre teórico y metodológico sobre la documentación narrativa o sistematización de experiencias pedagógicas.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16" w:firstLine="0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Propiciar la reflexión sobre la práctica pedagógica/docente cotidiana para generar posibilidades diferentes de conocimiento - comprensión y nuevas propuestas de intervención transformadoras. 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ind w:left="116" w:firstLine="0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Estimular una actitud crítica y comprometida con la profesionalización en el ejercicio de la docencia y  el mejoramiento de la práctica docente.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ind w:left="116" w:firstLine="0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Generar instancias colectivas para hacer públicos y compartir los documentos narrativos escritos por las estudiantes. 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ind w:left="116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Promover el acercamiento a distintos usos de la perspectiva narrativa en la enseñanza.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ind w:left="116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Propiciar la comprensión de la formación como un desarrollo personal y profesional;  dinámica de transformación donde cada adulto/a o futuro/a enseñante se forma a partir de mediaciones.</w:t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0d0d0d" w:val="clear"/>
        <w:jc w:val="both"/>
        <w:rPr>
          <w:rFonts w:ascii="Arial" w:cs="Arial" w:eastAsia="Arial" w:hAnsi="Arial"/>
          <w:b w:val="0"/>
          <w:color w:val="ffffff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color w:val="ffffff"/>
          <w:vertAlign w:val="baseline"/>
          <w:rtl w:val="0"/>
        </w:rPr>
        <w:t xml:space="preserve">3. CONTENIDOS – BIBLIOGRAFÍA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a relación entre la narrativa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y la formación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docente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La formación como transformación. Las mediaciones en la formación.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a sistematización o documentación narrativa de experiencias pedagógicas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Supuestos teóricos y criterios metodológicos. 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¿Cómo documentar, escribir y publicar relatos pedagógicos?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La construcción d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el saber pedagógico de  los/as docentes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La planificación didáctica desde una perspectiva narrativa. La escritura de guiones conjeturales.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El cuaderno de ruta docente como instrumento de formación profesional.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Análisis de 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publicaciones de experiencias pedagógicas producidas por los/las docentes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y residentes,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Escritura y reescritura de relatos de experiencias pedagógicas atendiendo a aspectos formales de gramática (ortografía, sintaxis, introducción de la voz del otro, acentuación)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La expresión oral de aportes teóricos y relatos pedagógicos.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Bibliografía: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Alliaud, A.  El docente como productor. Video del Seminario "Prácticas emancipatorias en la escuela: debates y desafíos actuales" Campus SUTEBA, 2016.  Disponible en: https://www.youtube.com/watch?v=nyjwRAF6ra8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Edelstein, G. (2000). El análisis didáctico de las prácticas de la enseñanza. Una referencia disciplinar para la reflexión crítica, en la Revista del IICE Nro. 17, Buenos Aires, Miño y Dávila.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Alliaud, A. (1998) “El maestro que aprende” En: El maestro que aprende. Representaciones, valores y creencias: los modos de pensar y actuar la enseñanza. Ensayos y experiencias Año 4 N° 23. Buenos Aires: Ediciones Novedades Educativas.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Suárez, D. H; Ochoa, L. (2005) La documentación narrativa de experiencias pedagógicas. Una estrategia para la formación de docentes. Buenos Aires: MECyT/OEA.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Suárez, D. H; Ochoa, L. y Dávila, P. (2004) Manual de capacitación sobre registro y sistematización de experiencias pedagógicas. Módulo 1: Narrativa docente, prácticas escolares y reconstrucción de la memoria pedagógica. Módulo2: La documentación narrativa de experiencias escolares. Buenos Aires: MECyT /OEA.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Sena, Carolina (2009) “El guión conjetural. Una modalidad para planificar la enseñanza”. En Marotta, E., Rebagliati, M.S., Sena, C ¿Jardín maternal o educación maternal?, Buenos Aires: Centro de Publicaciones Educativas y Material Didáctico.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McEwan, H. Y Egan, K Compiladores (1998). La narrativa en la enseñanza, el aprendizaje y la investigación. Buenos Aires.  Amorrortu. 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Souto, M. (2017) Pliegues de la formación. Sentidos y herramientas para la formación docente. Rosario. Homo Sapiens.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Steiman, J. (2004) “La narrativa en la enseñanza”. En: ¿Qué debatimos hoy en la didáctica? Las prácticas de enseñanza en la Educación Superior. Buenos Aires: Jorge Baudino ediciones. UNSAM.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Alliaud, A. (2018) Los artesanos de la enseñanza. Acerca de la formación de maestros con oficio. Ciudad Autónoma de Buenos Aires: Paidós.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0d0d0d" w:val="clear"/>
        <w:jc w:val="both"/>
        <w:rPr>
          <w:rFonts w:ascii="Arial" w:cs="Arial" w:eastAsia="Arial" w:hAnsi="Arial"/>
          <w:b w:val="0"/>
          <w:color w:val="ffffff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ffffff"/>
          <w:vertAlign w:val="baseline"/>
          <w:rtl w:val="0"/>
        </w:rPr>
        <w:t xml:space="preserve">4. EVALUACIÓN – ACREDITACIÓN (CONDICIONES DE ALUMNO REGULAR Y LIBRE)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0d0d0d" w:val="clear"/>
        <w:jc w:val="both"/>
        <w:rPr>
          <w:rFonts w:ascii="Arial" w:cs="Arial" w:eastAsia="Arial" w:hAnsi="Arial"/>
          <w:b w:val="0"/>
          <w:color w:val="ffffff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La evaluación será continua, de índole diagnóstica y formativa. La misma involucra tanto a estudiantes como a docentes en distintas instancias de auto- co- y heteroevaluación.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Se contemplarán los siguientes criterios para evaluar  la propuesta y tarea de enseñanza: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</w:t>
        <w:tab/>
        <w:t xml:space="preserve">Distancia entre lo planificado y el desarrollo de  la propuesta en relación a propósitos, contenidos, tiempos, imprevistos, toma de emergentes como oportunidades de aprendizaje. 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</w:t>
        <w:tab/>
        <w:t xml:space="preserve">Pertinencia de las estrategias metodológicas y los recursos utilizados en función de las características de los/as estudiantes y de la promoción de aprendizajes significativos.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</w:t>
        <w:tab/>
        <w:t xml:space="preserve">Compromiso de las profesoras con su tarea de enseñanza.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</w:t>
        <w:tab/>
        <w:t xml:space="preserve">Relación pedagógica entre profesoras y estudiantes.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Se considerarán los siguientes criterios de evaluación de los aprendizajes: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</w:t>
        <w:tab/>
        <w:t xml:space="preserve">Explicitar, diferenciar e integrar: procesos de aprender (conocer desde la práctica), de producir (escribir, relatar, comunicar) y de socializar (compartir, discutir, interpretar, comunicar)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</w:t>
        <w:tab/>
        <w:t xml:space="preserve">Generar procesos reflexivos que permitan problematizar, comprender y resignificar la experiencia pedagógica.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</w:t>
        <w:tab/>
        <w:t xml:space="preserve">Diferenciar e integrar el componente de reflexión individual (escritura, producción) con el de reflexión grupal.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</w:t>
        <w:tab/>
        <w:t xml:space="preserve">Elaborar documentos escritos atendiendo a: ortografía, ordenamiento y expresión clara de ideas, experiencias o posicionamientos, uso de citas y referencias bibliográficas, entre otros.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</w:t>
        <w:tab/>
        <w:t xml:space="preserve">Expresarse en forma verbal con dicción clara y tono de voz que posibilite la comunicación.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Para la acreditación del espacio curricular con promoción serán requisitos: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</w:t>
        <w:tab/>
        <w:t xml:space="preserve">Asistencia del 80 % a los encuentros. 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</w:t>
        <w:tab/>
        <w:t xml:space="preserve">La elaboración y aprobación de documentos y escritos que den cuenta de las actividades prácticas desarrolladas con una calificación no inferior a 7 (siete).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</w:t>
        <w:tab/>
        <w:t xml:space="preserve">La elaboración y aprobación de al menos dos relatos de experiencias pedagógicas que oficiarán de parciales con una calificación no inferior a 7 (siete).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</w:t>
        <w:tab/>
        <w:t xml:space="preserve">El compartir los relatos pedagógicos y comunicar los saberes construidos en un ámbito público.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</w:t>
        <w:tab/>
        <w:t xml:space="preserve">La participación en las Clases y  Foros del aula virtual.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Serán requisitos de aprobación sin promoción: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</w:t>
        <w:tab/>
        <w:t xml:space="preserve">Asistencia del 70 % a los encuentros presenciales.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</w:t>
        <w:tab/>
        <w:t xml:space="preserve">La elaboración y aprobación de documentos y escritos que den cuenta de las actividades prácticas desarrolladas con una calificación no inferior a 4 (cuatro).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</w:t>
        <w:tab/>
        <w:t xml:space="preserve">La elaboración y aprobación de al menos dos relatos de experiencias pedagógicas que oficiarán de parciales con una calificación no inferior a 4 (cuatro).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</w:t>
        <w:tab/>
        <w:t xml:space="preserve">El compartir los relatos pedagógicos y comunicar los saberes construidos en un ámbito público.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</w:t>
        <w:tab/>
        <w:t xml:space="preserve">La participación en las Clases y  Foros del aula virtual.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</w:t>
        <w:tab/>
        <w:t xml:space="preserve">Presentación a instancia de examen final, acreditable con una calificación no inferior a 4 (cuatro).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3"/>
          <w:szCs w:val="23"/>
          <w:vertAlign w:val="baseline"/>
          <w:rtl w:val="0"/>
        </w:rPr>
        <w:t xml:space="preserve">De acuerdo a lo expresado en el artículo 31 del RAM, no se contemplaría en la presente  propuesta de formato Seminario, la posibilidad de examen final libre.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rFonts w:ascii="Arial" w:cs="Arial" w:eastAsia="Arial" w:hAnsi="Arial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7" w:w="11905" w:orient="portrait"/>
      <w:pgMar w:bottom="1418" w:top="1418" w:left="1418" w:right="1418" w:header="720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mic Sans MS"/>
  <w:font w:name="Times New Roman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omic Sans MS" w:cs="Comic Sans MS" w:eastAsia="Comic Sans MS" w:hAnsi="Comic Sans M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16" w:firstLine="0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es-ES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1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es-MX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2"/>
    </w:pPr>
    <w:rPr>
      <w:rFonts w:ascii="Arial" w:eastAsia="Arial Unicode MS" w:hAnsi="Arial"/>
      <w:w w:val="100"/>
      <w:position w:val="-1"/>
      <w:effect w:val="none"/>
      <w:vertAlign w:val="baseline"/>
      <w:cs w:val="0"/>
      <w:em w:val="none"/>
      <w:lang w:bidi="ar-SA" w:eastAsia="ar-SA" w:val="es-ES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hd w:color="auto" w:fill="e6e6e6" w:val="clear"/>
      <w:suppressAutoHyphens w:val="1"/>
      <w:spacing w:after="227" w:before="227" w:line="1" w:lineRule="atLeast"/>
      <w:ind w:leftChars="-1" w:rightChars="0" w:firstLineChars="-1"/>
      <w:textDirection w:val="btLr"/>
      <w:textAlignment w:val="top"/>
      <w:outlineLvl w:val="3"/>
    </w:pPr>
    <w:rPr>
      <w:b w:val="1"/>
      <w:bCs w:val="1"/>
      <w:color w:val="00000a"/>
      <w:w w:val="100"/>
      <w:position w:val="-1"/>
      <w:sz w:val="30"/>
      <w:szCs w:val="24"/>
      <w:effect w:val="none"/>
      <w:vertAlign w:val="baseline"/>
      <w:cs w:val="0"/>
      <w:em w:val="none"/>
      <w:lang w:bidi="hi-IN" w:eastAsia="zh-CN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Wingdings" w:hAnsi="Wingdings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Wingdings" w:hAnsi="Wingdings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Comic Sans MS" w:hAnsi="Comic Sans MS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Wingdings" w:hAnsi="Wingdings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z4">
    <w:name w:val="WW8Num17z4"/>
    <w:next w:val="WW8Num17z4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9z1">
    <w:name w:val="WW8Num19z1"/>
    <w:next w:val="WW8Num19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9z3">
    <w:name w:val="WW8Num19z3"/>
    <w:next w:val="WW8Num19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1z1">
    <w:name w:val="WW8Num21z1"/>
    <w:next w:val="WW8Num2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1z3">
    <w:name w:val="WW8Num21z3"/>
    <w:next w:val="WW8Num21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5z1">
    <w:name w:val="WW8Num25z1"/>
    <w:next w:val="WW8Num25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5z3">
    <w:name w:val="WW8Num25z3"/>
    <w:next w:val="WW8Num25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7z1">
    <w:name w:val="WW8Num27z1"/>
    <w:next w:val="WW8Num2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7z2">
    <w:name w:val="WW8Num27z2"/>
    <w:next w:val="WW8Num27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9z1">
    <w:name w:val="WW8Num29z1"/>
    <w:next w:val="WW8Num2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9z2">
    <w:name w:val="WW8Num29z2"/>
    <w:next w:val="WW8Num29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0z1">
    <w:name w:val="WW8Num30z1"/>
    <w:next w:val="WW8Num30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0z3">
    <w:name w:val="WW8Num30z3"/>
    <w:next w:val="WW8Num30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2z0">
    <w:name w:val="WW8Num32z0"/>
    <w:next w:val="WW8Num3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2z1">
    <w:name w:val="WW8Num32z1"/>
    <w:next w:val="WW8Num3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2z2">
    <w:name w:val="WW8Num32z2"/>
    <w:next w:val="WW8Num32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4z0">
    <w:name w:val="WW8Num34z0"/>
    <w:next w:val="WW8Num34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4z1">
    <w:name w:val="WW8Num34z1"/>
    <w:next w:val="WW8Num3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5z0">
    <w:name w:val="WW8Num35z0"/>
    <w:next w:val="WW8Num35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5z1">
    <w:name w:val="WW8Num35z1"/>
    <w:next w:val="WW8Num35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5z3">
    <w:name w:val="WW8Num35z3"/>
    <w:next w:val="WW8Num35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6z0">
    <w:name w:val="WW8Num36z0"/>
    <w:next w:val="WW8Num36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6z1">
    <w:name w:val="WW8Num36z1"/>
    <w:next w:val="WW8Num36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6z3">
    <w:name w:val="WW8Num36z3"/>
    <w:next w:val="WW8Num36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7z0">
    <w:name w:val="WW8Num37z0"/>
    <w:next w:val="WW8Num3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7z1">
    <w:name w:val="WW8Num37z1"/>
    <w:next w:val="WW8Num3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7z2">
    <w:name w:val="WW8Num37z2"/>
    <w:next w:val="WW8Num37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8z0">
    <w:name w:val="WW8Num38z0"/>
    <w:next w:val="WW8Num3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8z1">
    <w:name w:val="WW8Num38z1"/>
    <w:next w:val="WW8Num3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8z2">
    <w:name w:val="WW8Num38z2"/>
    <w:next w:val="WW8Num38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9z0">
    <w:name w:val="WW8Num39z0"/>
    <w:next w:val="WW8Num39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0z0">
    <w:name w:val="WW8Num40z0"/>
    <w:next w:val="WW8Num40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1z0">
    <w:name w:val="WW8Num41z0"/>
    <w:next w:val="WW8Num41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2z0">
    <w:name w:val="WW8Num42z0"/>
    <w:next w:val="WW8Num42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3z0">
    <w:name w:val="WW8Num43z0"/>
    <w:next w:val="WW8Num43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4z0">
    <w:name w:val="WW8Num44z0"/>
    <w:next w:val="WW8Num44z0"/>
    <w:autoRedefine w:val="0"/>
    <w:hidden w:val="0"/>
    <w:qFormat w:val="0"/>
    <w:rPr>
      <w:rFonts w:ascii="Wingdings" w:hAnsi="Wingdings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Fuentedepárrafopredeter.1">
    <w:name w:val="Fuente de párrafo predeter.1"/>
    <w:next w:val="Fuentedepárrafopredeter.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úmerodepágina">
    <w:name w:val="Número de página"/>
    <w:basedOn w:val="Fuentedepárrafopredeter.1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ipervínculo">
    <w:name w:val="Hipervínculo"/>
    <w:next w:val="Hipervínculo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Símbolodenotaalpie">
    <w:name w:val="Símbolo de nota al pie"/>
    <w:next w:val="Símbolodenotaalpie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MáquinadeescribirHTML">
    <w:name w:val="Máquina de escribir HTML"/>
    <w:next w:val="MáquinadeescribirHTML"/>
    <w:autoRedefine w:val="0"/>
    <w:hidden w:val="0"/>
    <w:qFormat w:val="0"/>
    <w:rPr>
      <w:rFonts w:ascii="Courier New" w:cs="Courier New" w:eastAsia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Encabezado1">
    <w:name w:val="Encabezado1"/>
    <w:basedOn w:val="Normal"/>
    <w:next w:val="Textoindependiente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Helvetica" w:cs="Lucidasans" w:eastAsia="HG Mincho Light J" w:hAnsi="Helvetica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es-ES"/>
    </w:rPr>
  </w:style>
  <w:style w:type="paragraph" w:styleId="Textoindependiente">
    <w:name w:val="Texto independiente"/>
    <w:basedOn w:val="Normal"/>
    <w:next w:val="Textoindependient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es-ES"/>
    </w:rPr>
  </w:style>
  <w:style w:type="paragraph" w:styleId="Lista">
    <w:name w:val="Lista"/>
    <w:basedOn w:val="Textoindependiente"/>
    <w:next w:val="Lista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" w:cs="Lucidasans" w:hAnsi="Times"/>
      <w:w w:val="100"/>
      <w:position w:val="-1"/>
      <w:sz w:val="24"/>
      <w:effect w:val="none"/>
      <w:vertAlign w:val="baseline"/>
      <w:cs w:val="0"/>
      <w:em w:val="none"/>
      <w:lang w:bidi="ar-SA" w:eastAsia="ar-SA" w:val="es-ES"/>
    </w:rPr>
  </w:style>
  <w:style w:type="paragraph" w:styleId="Etiqueta">
    <w:name w:val="Etiqueta"/>
    <w:basedOn w:val="Normal"/>
    <w:next w:val="Etiquet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" w:cs="Lucidasans" w:hAnsi="Times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s-ES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" w:cs="Lucidasans" w:hAnsi="Times"/>
      <w:w w:val="100"/>
      <w:position w:val="-1"/>
      <w:effect w:val="none"/>
      <w:vertAlign w:val="baseline"/>
      <w:cs w:val="0"/>
      <w:em w:val="none"/>
      <w:lang w:bidi="ar-SA" w:eastAsia="ar-SA" w:val="es-ES"/>
    </w:rPr>
  </w:style>
  <w:style w:type="paragraph" w:styleId="Sangríadetextonormal">
    <w:name w:val="Sangría de texto normal"/>
    <w:basedOn w:val="Normal"/>
    <w:next w:val="Sangríadetextonormal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es-MX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es-ES"/>
    </w:r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w w:val="100"/>
      <w:position w:val="-1"/>
      <w:sz w:val="24"/>
      <w:effect w:val="none"/>
      <w:vertAlign w:val="baseline"/>
      <w:cs w:val="0"/>
      <w:em w:val="none"/>
      <w:lang w:bidi="ar-SA" w:eastAsia="ar-SA" w:val="es-ES"/>
    </w:rPr>
  </w:style>
  <w:style w:type="paragraph" w:styleId="Epígrafe1">
    <w:name w:val="Epígrafe1"/>
    <w:basedOn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b w:val="1"/>
      <w:w w:val="100"/>
      <w:position w:val="-1"/>
      <w:sz w:val="26"/>
      <w:effect w:val="none"/>
      <w:vertAlign w:val="baseline"/>
      <w:cs w:val="0"/>
      <w:em w:val="none"/>
      <w:lang w:bidi="ar-SA" w:eastAsia="ar-SA" w:val="es-ES"/>
    </w:rPr>
  </w:style>
  <w:style w:type="paragraph" w:styleId="Mapadeldocumento1">
    <w:name w:val="Mapa del documento1"/>
    <w:basedOn w:val="Normal"/>
    <w:next w:val="Mapadeldocumento1"/>
    <w:autoRedefine w:val="0"/>
    <w:hidden w:val="0"/>
    <w:qFormat w:val="0"/>
    <w:pPr>
      <w:shd w:color="auto" w:fill="000080" w:val="clear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effect w:val="none"/>
      <w:vertAlign w:val="baseline"/>
      <w:cs w:val="0"/>
      <w:em w:val="none"/>
      <w:lang w:bidi="ar-SA" w:eastAsia="ar-SA" w:val="es-ES"/>
    </w:rPr>
  </w:style>
  <w:style w:type="paragraph" w:styleId="Textodeglobo">
    <w:name w:val="Texto de globo"/>
    <w:basedOn w:val="Normal"/>
    <w:next w:val="Textodeglob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es-ES"/>
    </w:rPr>
  </w:style>
  <w:style w:type="paragraph" w:styleId="PlainText">
    <w:name w:val="Plain Text"/>
    <w:basedOn w:val="Normal"/>
    <w:next w:val="PlainText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effect w:val="none"/>
      <w:vertAlign w:val="baseline"/>
      <w:cs w:val="0"/>
      <w:em w:val="none"/>
      <w:lang w:bidi="ar-SA" w:eastAsia="ar-SA" w:val="es-ES"/>
    </w:rPr>
  </w:style>
  <w:style w:type="paragraph" w:styleId="Textoindependiente21">
    <w:name w:val="Texto independiente 21"/>
    <w:basedOn w:val="Normal"/>
    <w:next w:val="Textoindependiente2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bCs w:val="1"/>
      <w:w w:val="100"/>
      <w:position w:val="-1"/>
      <w:sz w:val="24"/>
      <w:effect w:val="none"/>
      <w:vertAlign w:val="baseline"/>
      <w:cs w:val="0"/>
      <w:em w:val="none"/>
      <w:lang w:bidi="ar-SA" w:eastAsia="ar-SA" w:val="es-ES"/>
    </w:rPr>
  </w:style>
  <w:style w:type="paragraph" w:styleId="Textonotapie">
    <w:name w:val="Texto nota pie"/>
    <w:basedOn w:val="Normal"/>
    <w:next w:val="Textonotapi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es-AR"/>
    </w:rPr>
  </w:style>
  <w:style w:type="paragraph" w:styleId="BodyText2">
    <w:name w:val="Body Text 2"/>
    <w:basedOn w:val="Normal"/>
    <w:next w:val="BodyText2"/>
    <w:autoRedefine w:val="0"/>
    <w:hidden w:val="0"/>
    <w:qFormat w:val="0"/>
    <w:pPr>
      <w:suppressAutoHyphens w:val="0"/>
      <w:overflowPunct w:val="0"/>
      <w:autoSpaceDE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vantGarde Md BT" w:hAnsi="AvantGarde Md BT"/>
      <w:w w:val="100"/>
      <w:position w:val="-1"/>
      <w:sz w:val="24"/>
      <w:effect w:val="none"/>
      <w:vertAlign w:val="baseline"/>
      <w:cs w:val="0"/>
      <w:em w:val="none"/>
      <w:lang w:bidi="ar-SA" w:eastAsia="ar-SA" w:val="es-ES"/>
    </w:rPr>
  </w:style>
  <w:style w:type="paragraph" w:styleId="Sangría2det.independiente1">
    <w:name w:val="Sangría 2 de t. independiente1"/>
    <w:basedOn w:val="Normal"/>
    <w:next w:val="Sangría2det.independiente1"/>
    <w:autoRedefine w:val="0"/>
    <w:hidden w:val="0"/>
    <w:qFormat w:val="0"/>
    <w:pPr>
      <w:tabs>
        <w:tab w:val="left" w:leader="none" w:pos="-720"/>
      </w:tabs>
      <w:suppressAutoHyphens w:val="0"/>
      <w:spacing w:line="360" w:lineRule="auto"/>
      <w:ind w:left="360" w:right="0" w:leftChars="-1" w:rightChars="0" w:firstLine="0" w:firstLineChars="-1"/>
      <w:jc w:val="both"/>
      <w:textDirection w:val="btLr"/>
      <w:textAlignment w:val="top"/>
      <w:outlineLvl w:val="0"/>
    </w:pPr>
    <w:rPr>
      <w:rFonts w:ascii="Comic Sans MS" w:hAnsi="Comic Sans MS"/>
      <w:spacing w:val="-3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s-ES"/>
    </w:rPr>
  </w:style>
  <w:style w:type="paragraph" w:styleId="Textoindependiente31">
    <w:name w:val="Texto independiente 31"/>
    <w:basedOn w:val="Normal"/>
    <w:next w:val="Textoindependiente31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es-ES"/>
    </w:rPr>
  </w:style>
  <w:style w:type="paragraph" w:styleId="Contenidodelatabla">
    <w:name w:val="Contenido de la tabla"/>
    <w:basedOn w:val="Normal"/>
    <w:next w:val="Contenidodelatab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es-ES"/>
    </w:rPr>
  </w:style>
  <w:style w:type="paragraph" w:styleId="Encabezadodelatabla">
    <w:name w:val="Encabezado de la tabla"/>
    <w:basedOn w:val="Contenidodelatabla"/>
    <w:next w:val="Encabezadodelatab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ar-SA" w:val="es-ES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Textoennegrita">
    <w:name w:val="Texto en negrita"/>
    <w:next w:val="Textoennegrita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Hipervínculovisitado">
    <w:name w:val="Hipervínculo visitado"/>
    <w:next w:val="Hipervínculo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character" w:styleId="Ref.denotaalpie">
    <w:name w:val="Ref. de nota al pie"/>
    <w:next w:val="Ref.denotaalpie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Título4Car">
    <w:name w:val="Título 4 Car"/>
    <w:next w:val="Título4Car"/>
    <w:autoRedefine w:val="0"/>
    <w:hidden w:val="0"/>
    <w:qFormat w:val="0"/>
    <w:rPr>
      <w:b w:val="1"/>
      <w:bCs w:val="1"/>
      <w:color w:val="00000a"/>
      <w:w w:val="100"/>
      <w:position w:val="-1"/>
      <w:sz w:val="30"/>
      <w:szCs w:val="24"/>
      <w:effect w:val="none"/>
      <w:shd w:color="auto" w:fill="e6e6e6" w:val="clear"/>
      <w:vertAlign w:val="baseline"/>
      <w:cs w:val="0"/>
      <w:em w:val="none"/>
      <w:lang w:bidi="hi-IN" w:eastAsia="zh-CN" w:val="es-ES"/>
    </w:rPr>
  </w:style>
  <w:style w:type="paragraph" w:styleId="Sangría2det.independiente">
    <w:name w:val="Sangría 2 de t. independiente"/>
    <w:basedOn w:val="Normal"/>
    <w:next w:val="Sangría2det.independiente"/>
    <w:autoRedefine w:val="0"/>
    <w:hidden w:val="0"/>
    <w:qFormat w:val="0"/>
    <w:pPr>
      <w:suppressAutoHyphens w:val="0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es-ES"/>
    </w:rPr>
  </w:style>
  <w:style w:type="character" w:styleId="Sangría2det.independienteCar">
    <w:name w:val="Sangría 2 de t. independiente Car"/>
    <w:next w:val="Sangría2det.independiente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ar-SA" w:val="es-ES"/>
    </w:rPr>
  </w:style>
  <w:style w:type="character" w:styleId="Ref.decomentario">
    <w:name w:val="Ref. de comentario"/>
    <w:next w:val="Ref.decomentari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comentario">
    <w:name w:val="Texto comentario"/>
    <w:basedOn w:val="Normal"/>
    <w:next w:val="Textocomentari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es-ES"/>
    </w:rPr>
  </w:style>
  <w:style w:type="character" w:styleId="TextocomentarioCar">
    <w:name w:val="Texto comentario Car"/>
    <w:next w:val="Textocomentari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ar-SA" w:val="es-ES"/>
    </w:rPr>
  </w:style>
  <w:style w:type="paragraph" w:styleId="Asuntodelcomentario">
    <w:name w:val="Asunto del comentario"/>
    <w:basedOn w:val="Textocomentario"/>
    <w:next w:val="Textocomentari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ar-SA" w:val="es-ES"/>
    </w:rPr>
  </w:style>
  <w:style w:type="character" w:styleId="AsuntodelcomentarioCar">
    <w:name w:val="Asunto del comentario Car"/>
    <w:next w:val="AsuntodelcomentarioC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eastAsia="ar-SA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cXDrQIm4M0AVxwHOjdtVt7vYLQ==">CgMxLjAyCGguZ2pkZ3hzMgloLjMwajB6bGw4AHIhMTlndEcyYndhLVN2RFRKanlvT1otSXRPbWxTUEhVcmJH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2024-05-11T01:23:00Z</dcterms:created>
  <dc:creator>Sergio Merino</dc:creator>
</cp:coreProperties>
</file>