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margin" w:horzAnchor="margin" w:tblpX="0" w:tblpY="0"/>
        <w:tblW w:w="9214.0" w:type="dxa"/>
        <w:jc w:val="left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3495675" cy="130492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30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Dirección General de Educación Superior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Instituto Superior de Formación Docente N° 803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Puerto Madryn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000000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 R O G R A M A   2 025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Carrera:</w:t>
            </w:r>
          </w:p>
          <w:tbl>
            <w:tblPr>
              <w:tblStyle w:val="Table2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199"/>
              <w:tblGridChange w:id="0">
                <w:tblGrid>
                  <w:gridCol w:w="919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           Profesorado de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ducación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P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vertAlign w:val="baseline"/>
                      <w:rtl w:val="0"/>
                    </w:rPr>
                    <w:t xml:space="preserve">rimaria                                                   RES N°328/22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Espacio curricular                                                         Equipo Docente</w:t>
            </w:r>
          </w:p>
          <w:tbl>
            <w:tblPr>
              <w:tblStyle w:val="Table3"/>
              <w:tblW w:w="9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99"/>
              <w:gridCol w:w="4600"/>
              <w:tblGridChange w:id="0">
                <w:tblGrid>
                  <w:gridCol w:w="4599"/>
                  <w:gridCol w:w="4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vertAlign w:val="baseline"/>
                      <w:rtl w:val="0"/>
                    </w:rPr>
                    <w:t xml:space="preserve">Expresión Artística </w:t>
                  </w:r>
                </w:p>
                <w:p w:rsidR="00000000" w:rsidDel="00000000" w:rsidP="00000000" w:rsidRDefault="00000000" w:rsidRPr="00000000" w14:paraId="00000014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Barrera Lourdes Irupe - Rivas Maria Laura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ind w:left="720" w:hanging="360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vertAlign w:val="baseline"/>
          <w:rtl w:val="0"/>
        </w:rPr>
        <w:t xml:space="preserve">FUNDAMENTACIÓN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ind w:left="720" w:firstLine="0"/>
        <w:jc w:val="both"/>
        <w:rPr>
          <w:rFonts w:ascii="Arial" w:cs="Arial" w:eastAsia="Arial" w:hAnsi="Arial"/>
          <w:b w:val="0"/>
          <w:color w:val="ffff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-2" w:hanging="2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-2" w:hanging="2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El arte, como producto y vehículo de la cultura puede ampliar las posibilidades del individuo para desarrollarse en plenitud emocional, propicia el desarrollo de la creatividad y las inteligencias. Ayuda al desarrollo físico y mental, a la autoestima, la confianza, la comunicación y socialización dependiendo en gran medida de la pertinencia y adecuación de las propuestas artísticas pedagógicas.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-2" w:hanging="2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Desde esta perspectiva, como equipo docente sostenemos que en la formación docente primaria, la Expresión artística  permitirá incorporar los lenguajes  desde la propia biografía expresiva y a partir  de variadas experiencias individuales y colectivas desarrollar otras, para que sean capaces de producir, en el marco del rol,  intervenciones pedagógicas, aportando herramientas conceptuales y metodológicas   para posibilitar  una trayectoria educativa integral de las Infancias.</w:t>
      </w:r>
    </w:p>
    <w:p w:rsidR="00000000" w:rsidDel="00000000" w:rsidP="00000000" w:rsidRDefault="00000000" w:rsidRPr="00000000" w14:paraId="0000001E">
      <w:pPr>
        <w:spacing w:line="360" w:lineRule="auto"/>
        <w:ind w:left="-2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spacing w:line="360" w:lineRule="auto"/>
        <w:jc w:val="both"/>
        <w:rPr>
          <w:rFonts w:ascii="Arial" w:cs="Arial" w:eastAsia="Arial" w:hAnsi="Arial"/>
          <w:b w:val="0"/>
          <w:color w:val="ffffff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vertAlign w:val="baseline"/>
          <w:rtl w:val="0"/>
        </w:rPr>
        <w:t xml:space="preserve">2.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-Fundamentar teóricamente la Educación Artística: su didáctica, las estrategias de enseñanza, adecuaciones curriculares.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- Reflexionar críticamente sobre la relación entre Arte y Educación.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-Integrar los contenidos teóricos, metodológicos de este campo de la formación.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Incorporar los lenguajes artísticos en la formación del docente para posibilitar una educación integral.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Valorar su  sensibilidad, creatividad y comunicación como generadora de cambios en el marco de la evolución.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Desarrollar capacidades críticas-reflexivas garantizando espacios abiertos para la indagación, la imaginación y el diseño de respuestas.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Fomentar el espacio divergente ayudando a buscar respuestas que respondan sólo a sí mismos, desarrollando  la capacidad de crear  espacios de participación activa.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Diseñar  propuestas de enseñanza desde los lenguajes artísticos para acompañar y poner en valor la heterogeneidad de las   trayectorias educativas integrales.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spacing w:line="360" w:lineRule="auto"/>
        <w:jc w:val="both"/>
        <w:rPr>
          <w:rFonts w:ascii="Arial" w:cs="Arial" w:eastAsia="Arial" w:hAnsi="Arial"/>
          <w:b w:val="0"/>
          <w:color w:val="ffffff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vertAlign w:val="baseline"/>
          <w:rtl w:val="0"/>
        </w:rPr>
        <w:t xml:space="preserve">3. CONTENIDOS – BIBLIOGRAFÍA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-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-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Primer Cuatrimestre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-El arte: concepciones y expresiones. Introducción a la forma y a la estética. La expresión, la creatividad y la improvisación en los lenguajes artísticos.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-Abordaje académico de los Lenguajes Artísticos. Enfoques cognitivos, clínicos, filosóficos, antropológicos, didácticos – pedagógicos. La importancia de la enseñanza y el aprendizaje del arte en las infancias como huella de identidad, proceso simbólico y producción cultural.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-Los lenguajes visuales, corporales y musicales como sistemas simbólicos no verbales y medios para la enseñanza. Las TIC como recurso en las actividades de los lenguajes artísticos.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Segundo cuatrimestre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-El lenguaje plástico. La imagen visual: espacio, forma, textura, color. Técnicas bi y tridimensionales. Los modos de expresión y comunicación. La imagen como mediadora de la enseñanza.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El lenguaje musical. Las estructuras musicales. El ritmo. La melodía. La Armonía. Los instrumentos musicales. La música y el juego: juegos de sensibilización musical. Animación musical y literatura. La voz cantada y hablada. Relato y paisaje sonoro. La Canción como unidad de sentido.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El lenguaje teatral. El teatro y sus elementos. Concepto de realidad. La representación. el personaje. Los roles. El teatro y el juego. Importancia del aspecto lúdico en la representación teatral.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El lenguaje corporal. Las capacidades sensoriales y expresivas del cuerpo. La expresión corporal en el espacio y en el tiempo. Juegos corporales y dramáticos. El cuerpo como posibilidad comunicativa y creativa. Juegos corporales y dramáticos.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Bibliografia: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AKOSCHKY J. y otras (2006)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 “Arte y escuela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”. Ed. Paidós. 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AMIERI DE PANERO S y otros. (1007)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Educación artística II, taller interdisciplinario    música, plástica, teatro.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Ed. Homo sapiens.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BERDICHEVSKY, P (2009) 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Primeras huellas. El Lenguaje plástico 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Homosapiens Ediciones.   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CRESPI, I. FERRARIO, J (1995)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u w:val="single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éxico técnico de las Artes Plásticas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Eudeba, Buenos Aires, Argentina.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DENIS D. (1980)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El Cuerpo Enseñado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”. Ed. Paidós.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EISNER,  Elliot.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(1998)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 “Educar la Visión Artística”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. Ed. Paidós Educador.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EISNER, Elliot. (2002)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Ocho importantes condiciones para la enseñanza y el aprendizaje en las artes visuales.” Arte, individuo y sociedad, 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(2002) 047 - 055. Recuperado 5 de noviembre de 2021, de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https://revistas.ucm.es/index.php/aris/article/view/aris0202110047a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GONZALEZ DE DÍAZ ARAUJO,  G y otros.(2008)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“El Teatro en la escuela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”.  Aique. 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HARF, R ORIGLIO, F PITLUK, LULLÚA, J (2006). “¿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Qué pasa con el juego en la educación inicial?" Hola chicos.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KATZ, S (2011)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Con su permiso pintores!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Laralazul.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MONTAVI,  A. (2008)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El Teatro un juego más”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. Ed. Novedades Educativas. 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NÚM, B. (2011),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La Expresión Plástica en la escuela Primaria, Técnicas, procedimientos y contenidos.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ORIGLIO, F.; PORSTEIN, A. (1998)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Movimientos y sonidos: didáctica de la música y la expresión corporal en el jardín de infantes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. Buenos Aires: Actilibro.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PAVÍA, V (2015)“¿Por qué es importante el juego?”  Disponible en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https://www.youtube.com/watch?v=hJgN4rgA2-4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PAVÍA, V (2009)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Forma del juego y modos de jugar. Secuencias de actividades lúdicas.”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 Neuquén. Editorial de la universidad del Comahue.  Recuperado en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https://www.fundacionarcor.org/es/biblioteca/descarga?file=84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00" w:line="360" w:lineRule="auto"/>
        <w:ind w:left="502" w:hanging="36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SPRAVKIN, M (2000)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vertAlign w:val="baseline"/>
          <w:rtl w:val="0"/>
        </w:rPr>
        <w:t xml:space="preserve"> “Cuestión de imagen”.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Ed. Novedades Educativas.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0d0d0d" w:val="clear"/>
        <w:spacing w:line="360" w:lineRule="auto"/>
        <w:jc w:val="both"/>
        <w:rPr>
          <w:rFonts w:ascii="Arial" w:cs="Arial" w:eastAsia="Arial" w:hAnsi="Arial"/>
          <w:b w:val="0"/>
          <w:color w:val="ffffff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22"/>
          <w:szCs w:val="22"/>
          <w:vertAlign w:val="baseline"/>
          <w:rtl w:val="0"/>
        </w:rPr>
        <w:t xml:space="preserve">4. EVALUACIÓN – ACREDITACIÓN (CONDICIONES DE ALUMNO REGULAR Y LIBRE)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Asistencia: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porcentajes de asistencia serán del 80% para el caso de promoción y del 60% para el caso de la aprobación de la instancia con examen final. No podrá ser inferior al 75% para regularizar la materia.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excepción de los porcentajes de asistencia está prevista para las siguientes situaciones, con la presentación de la documentación correspondiente ante el equipo docente.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-Caso de Maternidad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-Enfermedad Prolongada.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-Ser Madre de Lactante.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        -Situación Laboral.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estas situaciones la cátedra analizará los márgenes de asistencia que serán exigidos.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Acreditación: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●      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con Promoción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Parciales, trabajos prácticos, producciones, y participación  durante los talleres. Aprobado con 7 puntos o más.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      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con examen final: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El alumno/a que tenga como nota final de cursada entre 4 y 6 puntos, estará en condiciones de rendir el examen final, con nota mínima de aprobación de 4.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metodología de examen final del taller se adaptará a los contenidos y características del mismo. 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7" w:w="11905" w:orient="portrait"/>
      <w:pgMar w:bottom="1418" w:top="1418" w:left="1418" w:right="1418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omic Sans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MX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eastAsia="Arial Unicode MS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hd w:color="auto" w:fill="e6e6e6" w:val="clear"/>
      <w:suppressAutoHyphens w:val="1"/>
      <w:spacing w:after="227" w:before="227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color w:val="00000a"/>
      <w:w w:val="100"/>
      <w:position w:val="-1"/>
      <w:sz w:val="30"/>
      <w:szCs w:val="24"/>
      <w:effect w:val="none"/>
      <w:vertAlign w:val="baseline"/>
      <w:cs w:val="0"/>
      <w:em w:val="none"/>
      <w:lang w:bidi="hi-IN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Comic Sans MS" w:hAnsi="Comic Sans M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hAnsi="Wingdings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Wingdings" w:hAnsi="Wingdings"/>
      <w:b w:val="0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uentedepárrafopredeter.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MáquinadeescribirHTML">
    <w:name w:val="Máquina de escribir HTML"/>
    <w:next w:val="MáquinadeescribirHTML"/>
    <w:autoRedefine w:val="0"/>
    <w:hidden w:val="0"/>
    <w:qFormat w:val="0"/>
    <w:rPr>
      <w:rFonts w:ascii="Courier New" w:cs="Courier New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Lucidasans" w:eastAsia="HG Mincho Light J" w:hAnsi="Helvetica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Lucidasans" w:hAnsi="Times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Epígrafe1">
    <w:name w:val="Epígrafe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sz w:val="26"/>
      <w:effect w:val="none"/>
      <w:vertAlign w:val="baseline"/>
      <w:cs w:val="0"/>
      <w:em w:val="none"/>
      <w:lang w:bidi="ar-SA" w:eastAsia="ar-SA" w:val="es-ES"/>
    </w:rPr>
  </w:style>
  <w:style w:type="paragraph" w:styleId="Mapadeldocumento1">
    <w:name w:val="Mapa del documento1"/>
    <w:basedOn w:val="Normal"/>
    <w:next w:val="Mapadeldocumento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vantGarde Md BT" w:hAnsi="AvantGarde Md BT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Sangría2det.independiente1">
    <w:name w:val="Sangría 2 de t. independiente1"/>
    <w:basedOn w:val="Normal"/>
    <w:next w:val="Sangría2det.independiente1"/>
    <w:autoRedefine w:val="0"/>
    <w:hidden w:val="0"/>
    <w:qFormat w:val="0"/>
    <w:pPr>
      <w:tabs>
        <w:tab w:val="left" w:leader="none" w:pos="-720"/>
      </w:tabs>
      <w:suppressAutoHyphens w:val="0"/>
      <w:spacing w:line="360" w:lineRule="auto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rFonts w:ascii="Comic Sans MS" w:hAnsi="Comic Sans MS"/>
      <w:spacing w:val="-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b w:val="1"/>
      <w:bCs w:val="1"/>
      <w:color w:val="00000a"/>
      <w:w w:val="100"/>
      <w:position w:val="-1"/>
      <w:sz w:val="30"/>
      <w:szCs w:val="24"/>
      <w:effect w:val="none"/>
      <w:shd w:color="auto" w:fill="e6e6e6" w:val="clear"/>
      <w:vertAlign w:val="baseline"/>
      <w:cs w:val="0"/>
      <w:em w:val="none"/>
      <w:lang w:bidi="hi-IN" w:eastAsia="zh-CN" w:val="es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fundacionarcor.org/es/biblioteca/descarga?file=84" TargetMode="External"/><Relationship Id="rId9" Type="http://schemas.openxmlformats.org/officeDocument/2006/relationships/hyperlink" Target="https://www.youtube.com/watch?v=hJgN4rgA2-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evistas.ucm.es/index.php/aris/article/view/aris0202110047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gVRyoSgL3p52cwQNxdHxTX+cw==">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CWguMzBqMHpsbDgAciExbENWaW4zdkwzV3g4SW1yOVF3YURnczhEaDl0QTVDc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2024-12-10T01:46:00Z</dcterms:created>
  <dc:creator>Sergio Merino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