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margin" w:horzAnchor="margin" w:tblpX="0" w:tblpY="0"/>
        <w:tblW w:w="9214.0" w:type="dxa"/>
        <w:jc w:val="left"/>
        <w:tblLayout w:type="fixed"/>
        <w:tblLook w:val="0000"/>
      </w:tblPr>
      <w:tblGrid>
        <w:gridCol w:w="9214"/>
        <w:tblGridChange w:id="0">
          <w:tblGrid>
            <w:gridCol w:w="9214"/>
          </w:tblGrid>
        </w:tblGridChange>
      </w:tblGrid>
      <w:tr>
        <w:trPr>
          <w:cantSplit w:val="0"/>
          <w:tblHeader w:val="0"/>
        </w:trPr>
        <w:tc>
          <w:tcPr>
            <w:vAlign w:val="top"/>
          </w:tcPr>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3495675" cy="130492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9567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Dirección General de Educación Superior</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Instituto Superior de Formación Docente N° 803</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Puerto Madryn</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hd w:fill="000000" w:val="clea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 R O G R A M A   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Carrera:</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blHeader w:val="0"/>
              </w:trPr>
              <w:tc>
                <w:tcPr>
                  <w:vAlign w:val="top"/>
                </w:tcPr>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Profesorado de Educación Secundaria en </w:t>
                  </w:r>
                  <w:r w:rsidDel="00000000" w:rsidR="00000000" w:rsidRPr="00000000">
                    <w:rPr>
                      <w:rFonts w:ascii="Arial" w:cs="Arial" w:eastAsia="Arial" w:hAnsi="Arial"/>
                      <w:b w:val="1"/>
                      <w:rtl w:val="0"/>
                    </w:rPr>
                    <w:t xml:space="preserve">Lengua y Literatura </w:t>
                  </w:r>
                  <w:r w:rsidDel="00000000" w:rsidR="00000000" w:rsidRPr="00000000">
                    <w:rPr>
                      <w:rFonts w:ascii="Arial" w:cs="Arial" w:eastAsia="Arial" w:hAnsi="Arial"/>
                      <w:b w:val="1"/>
                      <w:vertAlign w:val="baseline"/>
                      <w:rtl w:val="0"/>
                    </w:rPr>
                    <w:t xml:space="preserve">- RES </w:t>
                  </w:r>
                  <w:r w:rsidDel="00000000" w:rsidR="00000000" w:rsidRPr="00000000">
                    <w:rPr>
                      <w:rFonts w:ascii="Arial" w:cs="Arial" w:eastAsia="Arial" w:hAnsi="Arial"/>
                      <w:b w:val="1"/>
                      <w:rtl w:val="0"/>
                    </w:rPr>
                    <w:t xml:space="preserve">Nº 536</w:t>
                  </w:r>
                  <w:r w:rsidDel="00000000" w:rsidR="00000000" w:rsidRPr="00000000">
                    <w:rPr>
                      <w:rFonts w:ascii="Arial" w:cs="Arial" w:eastAsia="Arial" w:hAnsi="Arial"/>
                      <w:b w:val="1"/>
                      <w:vertAlign w:val="baseline"/>
                      <w:rtl w:val="0"/>
                    </w:rPr>
                    <w:t xml:space="preserve">/19</w:t>
                  </w:r>
                  <w:r w:rsidDel="00000000" w:rsidR="00000000" w:rsidRPr="00000000">
                    <w:rPr>
                      <w:rtl w:val="0"/>
                    </w:rPr>
                  </w:r>
                </w:p>
              </w:tc>
            </w:tr>
          </w:tbl>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Espacio curricular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9"/>
              <w:gridCol w:w="4600"/>
              <w:tblGridChange w:id="0">
                <w:tblGrid>
                  <w:gridCol w:w="4599"/>
                  <w:gridCol w:w="4600"/>
                </w:tblGrid>
              </w:tblGridChange>
            </w:tblGrid>
            <w:tr>
              <w:trPr>
                <w:cantSplit w:val="0"/>
                <w:tblHeader w:val="0"/>
              </w:trPr>
              <w:tc>
                <w:tcPr>
                  <w:vAlign w:val="center"/>
                </w:tcPr>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Psicología Educacional</w:t>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Prof. y Lic. Castelnuovo Renata Sabrina</w:t>
                  </w:r>
                </w:p>
              </w:tc>
            </w:tr>
          </w:tbl>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1. FUNDAMENTACIÓN </w:t>
      </w:r>
      <w:r w:rsidDel="00000000" w:rsidR="00000000" w:rsidRPr="00000000">
        <w:rPr>
          <w:rtl w:val="0"/>
        </w:rPr>
      </w:r>
    </w:p>
    <w:p w:rsidR="00000000" w:rsidDel="00000000" w:rsidP="00000000" w:rsidRDefault="00000000" w:rsidRPr="00000000" w14:paraId="0000001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propósito de esta asignatura es que los futuros/as docentes adquieran herramientas cognitivas necesarias para posicionarse frente a los actores partícipes de la educación, como sujetos que transitan procesos de desarrollo subjetivo y que en el transitar la escuela, forman parte de la construcción del dispositivo escolar. </w:t>
      </w:r>
    </w:p>
    <w:p w:rsidR="00000000" w:rsidDel="00000000" w:rsidP="00000000" w:rsidRDefault="00000000" w:rsidRPr="00000000" w14:paraId="0000001B">
      <w:pPr>
        <w:spacing w:after="240" w:lineRule="auto"/>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Por ello, la importancia de abordar diversos aportes de la psicología, que permitan reflexionar y producir conocimiento sobre los modelos psicológicos del aprendizaje, desarrollo y socialización. Los mismos, posibilitan la construcción de marcos conceptuales que permiten complejizar las relaciones entre el sujeto y el aprendizaje escolar, el conocimiento cotidiano y el escolar. Así mismo, el abordaje de los distintos enfoques psicológicos, desde una mirada crítica, aporta a la intervención en los diferentes escenarios educativos, los diferentes modelos psicológicos del aprendizaje con sus fortalezas y limitaciones. Analizar el aprendizaje, con especial énfasis en el aprendizaje escolar, aporta a la comprensión de su dinámica, riqueza y dimensiones, es un soporte fundamental para apoyar los procesos de mediación del docente en el diseño y la coordinación de la enseñanza. </w:t>
      </w:r>
      <w:r w:rsidDel="00000000" w:rsidR="00000000" w:rsidRPr="00000000">
        <w:rPr>
          <w:rFonts w:ascii="Arial" w:cs="Arial" w:eastAsia="Arial" w:hAnsi="Arial"/>
          <w:b w:val="1"/>
          <w:color w:val="ffffff"/>
          <w:vertAlign w:val="baseline"/>
          <w:rtl w:val="0"/>
        </w:rPr>
        <w:t xml:space="preserve">2. </w:t>
      </w:r>
      <w:r w:rsidDel="00000000" w:rsidR="00000000" w:rsidRPr="00000000">
        <w:rPr>
          <w:rtl w:val="0"/>
        </w:rPr>
      </w:r>
    </w:p>
    <w:p w:rsidR="00000000" w:rsidDel="00000000" w:rsidP="00000000" w:rsidRDefault="00000000" w:rsidRPr="00000000" w14:paraId="0000001C">
      <w:pPr>
        <w:spacing w:after="24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OBJETIVOS</w:t>
      </w:r>
      <w:r w:rsidDel="00000000" w:rsidR="00000000" w:rsidRPr="00000000">
        <w:rPr>
          <w:rtl w:val="0"/>
        </w:rPr>
      </w:r>
    </w:p>
    <w:p w:rsidR="00000000" w:rsidDel="00000000" w:rsidP="00000000" w:rsidRDefault="00000000" w:rsidRPr="00000000" w14:paraId="0000001D">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Macro-objetivos</w:t>
      </w:r>
    </w:p>
    <w:p w:rsidR="00000000" w:rsidDel="00000000" w:rsidP="00000000" w:rsidRDefault="00000000" w:rsidRPr="00000000" w14:paraId="0000001E">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Comprender los estudios y conceptos básicos de la psicología como ciencia.</w:t>
      </w:r>
    </w:p>
    <w:p w:rsidR="00000000" w:rsidDel="00000000" w:rsidP="00000000" w:rsidRDefault="00000000" w:rsidRPr="00000000" w14:paraId="0000001F">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Abordar las diferentes teorías sobre el desarrollo cognitivo y social con énfasis en el</w:t>
      </w:r>
    </w:p>
    <w:p w:rsidR="00000000" w:rsidDel="00000000" w:rsidP="00000000" w:rsidRDefault="00000000" w:rsidRPr="00000000" w14:paraId="00000020">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proceso de aprendizaje.</w:t>
      </w:r>
    </w:p>
    <w:p w:rsidR="00000000" w:rsidDel="00000000" w:rsidP="00000000" w:rsidRDefault="00000000" w:rsidRPr="00000000" w14:paraId="00000021">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Incentivar un marco general de carácter reflexivo y crítico acerca de los alcances y</w:t>
      </w:r>
    </w:p>
    <w:p w:rsidR="00000000" w:rsidDel="00000000" w:rsidP="00000000" w:rsidRDefault="00000000" w:rsidRPr="00000000" w14:paraId="00000022">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profundidad de los conceptos dados.</w:t>
      </w:r>
    </w:p>
    <w:p w:rsidR="00000000" w:rsidDel="00000000" w:rsidP="00000000" w:rsidRDefault="00000000" w:rsidRPr="00000000" w14:paraId="00000023">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Abordar y reflexionar respecto de la concepción del niño en contexto educacional.</w:t>
      </w:r>
    </w:p>
    <w:p w:rsidR="00000000" w:rsidDel="00000000" w:rsidP="00000000" w:rsidRDefault="00000000" w:rsidRPr="00000000" w14:paraId="00000024">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Micro-objetivos</w:t>
      </w:r>
    </w:p>
    <w:p w:rsidR="00000000" w:rsidDel="00000000" w:rsidP="00000000" w:rsidRDefault="00000000" w:rsidRPr="00000000" w14:paraId="00000025">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Desarrollar marcos de reflexión acorde con situaciones susceptibles de ser</w:t>
      </w:r>
    </w:p>
    <w:p w:rsidR="00000000" w:rsidDel="00000000" w:rsidP="00000000" w:rsidRDefault="00000000" w:rsidRPr="00000000" w14:paraId="00000026">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trasladadas al ámbito de la actualidad local.</w:t>
      </w:r>
    </w:p>
    <w:p w:rsidR="00000000" w:rsidDel="00000000" w:rsidP="00000000" w:rsidRDefault="00000000" w:rsidRPr="00000000" w14:paraId="00000027">
      <w:pPr>
        <w:spacing w:after="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Proponer los conceptos en forma abierta a la discusión, prestando al debate</w:t>
      </w:r>
    </w:p>
    <w:p w:rsidR="00000000" w:rsidDel="00000000" w:rsidP="00000000" w:rsidRDefault="00000000" w:rsidRPr="00000000" w14:paraId="00000028">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constructivo en el aula.</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hd w:fill="0d0d0d" w:val="clear"/>
        <w:spacing w:after="240" w:lineRule="auto"/>
        <w:jc w:val="both"/>
        <w:rPr>
          <w:rFonts w:ascii="Arial" w:cs="Arial" w:eastAsia="Arial" w:hAnsi="Arial"/>
          <w:b w:val="0"/>
          <w:color w:val="ffffff"/>
          <w:vertAlign w:val="baseline"/>
        </w:rPr>
      </w:pPr>
      <w:bookmarkStart w:colFirst="0" w:colLast="0" w:name="_heading=h.gjdgxs" w:id="0"/>
      <w:bookmarkEnd w:id="0"/>
      <w:r w:rsidDel="00000000" w:rsidR="00000000" w:rsidRPr="00000000">
        <w:rPr>
          <w:rFonts w:ascii="Arial" w:cs="Arial" w:eastAsia="Arial" w:hAnsi="Arial"/>
          <w:b w:val="1"/>
          <w:color w:val="ffffff"/>
          <w:vertAlign w:val="baseline"/>
          <w:rtl w:val="0"/>
        </w:rPr>
        <w:t xml:space="preserve">3. CONTENIDOS – BIBLIOGRAFÍA </w:t>
      </w:r>
      <w:r w:rsidDel="00000000" w:rsidR="00000000" w:rsidRPr="00000000">
        <w:rPr>
          <w:rtl w:val="0"/>
        </w:rPr>
      </w:r>
    </w:p>
    <w:p w:rsidR="00000000" w:rsidDel="00000000" w:rsidP="00000000" w:rsidRDefault="00000000" w:rsidRPr="00000000" w14:paraId="0000002A">
      <w:pPr>
        <w:spacing w:after="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EJE 1. Introducción a la Psicología educacional, y aportes de diferentes corrientes teóricas.</w:t>
      </w:r>
      <w:r w:rsidDel="00000000" w:rsidR="00000000" w:rsidRPr="00000000">
        <w:rPr>
          <w:rFonts w:ascii="Arial" w:cs="Arial" w:eastAsia="Arial" w:hAnsi="Arial"/>
          <w:vertAlign w:val="baseline"/>
          <w:rtl w:val="0"/>
        </w:rPr>
        <w:t xml:space="preserve"> Psicología y Educación: definición, objetivos y áreas. Teoría de la conducta: Conductismo de Watson y definición actual de conducta. Teoría Psicoanalítica: Constitución del Sujeto Psíquico, herencia-construcción. Sigmund Freud: aparato psíquico, identificación, desarrollo psicosexual. Teoría Psicogenética: Jean Piaget procesos de asimilación y acomodación, equilibración, estadios del desarrollo cognitivo. Teoría Sociohistórica: Lev Vigotsky, procesos psicológicos elementales y superiores, Interiorización, Instrumentos mediadores, Zona de Desarrollo próximo; Jerome Bruner, Andamiaje. Teorías cognitivas: A. Beck, procesamiento de la información; H. Gardner, inteligencias múltiples, D. Ausubel Aprendizaje Significativo. Prácticas educativas y procesos de escolarización. Relación Desarrollo, Aprendizaje y Enseñanza. </w:t>
      </w:r>
    </w:p>
    <w:p w:rsidR="00000000" w:rsidDel="00000000" w:rsidP="00000000" w:rsidRDefault="00000000" w:rsidRPr="00000000" w14:paraId="0000002B">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Obligatoria:</w:t>
      </w:r>
    </w:p>
    <w:p w:rsidR="00000000" w:rsidDel="00000000" w:rsidP="00000000" w:rsidRDefault="00000000" w:rsidRPr="00000000" w14:paraId="0000002C">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ARDILA, R. (2013). Los orígenes del conductismo, Watson y el manifiesto conductista de 1913. Revista Latinoamericana de psicología, Vol. 45 nro 2. Pp 315-319- Fundación Universitaria Konrad Lorenz. Bogotá, Colombia.</w:t>
      </w:r>
    </w:p>
    <w:p w:rsidR="00000000" w:rsidDel="00000000" w:rsidP="00000000" w:rsidRDefault="00000000" w:rsidRPr="00000000" w14:paraId="0000002D">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CASTELNUOVO, R. (2020). Introducción a la Psicología Educacional. Documento de Cátedra. Psicología Educacional, Instituto Superior de Formación Docente 803, Puerto Madryn.</w:t>
      </w:r>
    </w:p>
    <w:p w:rsidR="00000000" w:rsidDel="00000000" w:rsidP="00000000" w:rsidRDefault="00000000" w:rsidRPr="00000000" w14:paraId="0000002E">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CASTELNUOVO, R. (2020). Teorías Cognitivas. Documento de Cátedra. Psicología Educacional, Instituto Superior de Formación Docente 803, Puerto Madryn.</w:t>
      </w:r>
    </w:p>
    <w:p w:rsidR="00000000" w:rsidDel="00000000" w:rsidP="00000000" w:rsidRDefault="00000000" w:rsidRPr="00000000" w14:paraId="0000002F">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CASTELNUOVO, R. (2020). Crecimiento, maduración y desarrollo. Documento de Cátedra. Psicología Educacional, Instituto Superior de Formación Docente 803, Puerto Madryn.</w:t>
      </w:r>
    </w:p>
    <w:p w:rsidR="00000000" w:rsidDel="00000000" w:rsidP="00000000" w:rsidRDefault="00000000" w:rsidRPr="00000000" w14:paraId="00000030">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COLL, C. (1998). Psicología de la Educación. Edhasa. ISBN 8435069001,9788435069007</w:t>
      </w:r>
    </w:p>
    <w:p w:rsidR="00000000" w:rsidDel="00000000" w:rsidP="00000000" w:rsidRDefault="00000000" w:rsidRPr="00000000" w14:paraId="00000031">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GRASSI, A. y CORDOVA, N. (2010). La Primavera del significante en “Entre niños, adolescentes y relaciones parentales”. Pp 25-35.  Ed. Entreideas, Buenos Aires. </w:t>
      </w:r>
    </w:p>
    <w:p w:rsidR="00000000" w:rsidDel="00000000" w:rsidP="00000000" w:rsidRDefault="00000000" w:rsidRPr="00000000" w14:paraId="00000032">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LELIWA, S, SCANGARELLO, I (2011). Psicología y Educación, Cap. 2,3,4,5 y 6). Edit. Brujas, Córdoba. </w:t>
      </w:r>
    </w:p>
    <w:p w:rsidR="00000000" w:rsidDel="00000000" w:rsidP="00000000" w:rsidRDefault="00000000" w:rsidRPr="00000000" w14:paraId="00000033">
      <w:pPr>
        <w:numPr>
          <w:ilvl w:val="0"/>
          <w:numId w:val="3"/>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WOOLFOLK, A. (1999). Psicología educativa. Cap. 7. Teorías Cognoscitivas, selección de Ap. PRENTICE HALL, México. </w:t>
      </w:r>
    </w:p>
    <w:p w:rsidR="00000000" w:rsidDel="00000000" w:rsidP="00000000" w:rsidRDefault="00000000" w:rsidRPr="00000000" w14:paraId="00000034">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Complementaria:</w:t>
      </w:r>
    </w:p>
    <w:p w:rsidR="00000000" w:rsidDel="00000000" w:rsidP="00000000" w:rsidRDefault="00000000" w:rsidRPr="00000000" w14:paraId="00000035">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BAQUERO, R. (2001). Vigostky y el aprendizaje escolar. Aique Grupo Editor S.A., Buenos Aires. </w:t>
      </w:r>
    </w:p>
    <w:p w:rsidR="00000000" w:rsidDel="00000000" w:rsidP="00000000" w:rsidRDefault="00000000" w:rsidRPr="00000000" w14:paraId="00000036">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CAZDEN, C (1991). El discurso en el aula. Paidos, Barcelona.</w:t>
      </w:r>
    </w:p>
    <w:p w:rsidR="00000000" w:rsidDel="00000000" w:rsidP="00000000" w:rsidRDefault="00000000" w:rsidRPr="00000000" w14:paraId="00000037">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CASULLO, M.M. (1991). Psicología para docentes. Guadalupe, Buenos Aires.</w:t>
      </w:r>
    </w:p>
    <w:p w:rsidR="00000000" w:rsidDel="00000000" w:rsidP="00000000" w:rsidRDefault="00000000" w:rsidRPr="00000000" w14:paraId="00000038">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FREUD, S. (1996). “Esquema de Psicoanálisis”. En J. L. Etcheverry (Traduc.), Obras Completas: Sigmund Freud (Vol. 23, pp. 143-145; 150-154).Amorrortu, Buenos Aires.  (Trabajo original publicado 1939)</w:t>
      </w:r>
    </w:p>
    <w:p w:rsidR="00000000" w:rsidDel="00000000" w:rsidP="00000000" w:rsidRDefault="00000000" w:rsidRPr="00000000" w14:paraId="00000039">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GARCIA ALLEN, J. (07/2003). La Terapia Cognitiva de Aaron Beck. En Psicología y Mente [Artículo]. Recuperado de: https://psicologiaymente.com/clinica/terapia-cognitiva-aaron-beck [23/05/2019].</w:t>
      </w:r>
    </w:p>
    <w:p w:rsidR="00000000" w:rsidDel="00000000" w:rsidP="00000000" w:rsidRDefault="00000000" w:rsidRPr="00000000" w14:paraId="0000003A">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GONZÁLEZ ZEPEDA, ADRIANA (2004). Aportaciones de la psicología conductual a la educación. Revista Electrónica Sinéctica, Número 25(número de la revista), 15-22. Instituto Tecnológico y de Estudios Superiores de Occidente Jalisco, México. Recuperado de Redalyc.Aportaciones de la psicología conductual a la educación.</w:t>
      </w:r>
    </w:p>
    <w:p w:rsidR="00000000" w:rsidDel="00000000" w:rsidP="00000000" w:rsidRDefault="00000000" w:rsidRPr="00000000" w14:paraId="0000003B">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PIAGET, J. (1973). Estudios de psicología genética. Emece Editores, Buenos Aires.</w:t>
      </w:r>
    </w:p>
    <w:p w:rsidR="00000000" w:rsidDel="00000000" w:rsidP="00000000" w:rsidRDefault="00000000" w:rsidRPr="00000000" w14:paraId="0000003C">
      <w:pPr>
        <w:numPr>
          <w:ilvl w:val="0"/>
          <w:numId w:val="4"/>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WOOLFOLK, A. (1999). Psicología educativa. Cap. 1 “Maestros, la enseñanza y la Psicología Educacional”, selección de Ap.. PRENTICE HALL, México. </w:t>
      </w:r>
    </w:p>
    <w:p w:rsidR="00000000" w:rsidDel="00000000" w:rsidP="00000000" w:rsidRDefault="00000000" w:rsidRPr="00000000" w14:paraId="0000003D">
      <w:pPr>
        <w:spacing w:after="24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EJE 2: Enseñanza y aprendizaje</w:t>
      </w:r>
      <w:r w:rsidDel="00000000" w:rsidR="00000000" w:rsidRPr="00000000">
        <w:rPr>
          <w:rtl w:val="0"/>
        </w:rPr>
      </w:r>
    </w:p>
    <w:p w:rsidR="00000000" w:rsidDel="00000000" w:rsidP="00000000" w:rsidRDefault="00000000" w:rsidRPr="00000000" w14:paraId="0000003E">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Aprendizaje y aprendizaje escolar. Constitución subjetiva. Berger y Luckmann: socialización primaria y secundaria. El deseo de aprender y el deseo de enseñar: objeto a. La motivación: pirámide de Maslow. Conocimiento espontáneo y conocimiento escolar. Modalidades de enseñanza y aprendizaje: hablar y escuchar; comprensión de textos.</w:t>
      </w:r>
    </w:p>
    <w:p w:rsidR="00000000" w:rsidDel="00000000" w:rsidP="00000000" w:rsidRDefault="00000000" w:rsidRPr="00000000" w14:paraId="0000003F">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Obligatoria </w:t>
      </w:r>
    </w:p>
    <w:p w:rsidR="00000000" w:rsidDel="00000000" w:rsidP="00000000" w:rsidRDefault="00000000" w:rsidRPr="00000000" w14:paraId="00000040">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ABUSAMRA, CASAJÚS, FERRERES, RAITER, DE BENI &amp;, CORNOLDI (2011). Programa Leer para Comprender. Desarrollo de la comprensión de textos. Paidós, Buenos Aires</w:t>
      </w:r>
    </w:p>
    <w:p w:rsidR="00000000" w:rsidDel="00000000" w:rsidP="00000000" w:rsidRDefault="00000000" w:rsidRPr="00000000" w14:paraId="00000041">
      <w:pPr>
        <w:numPr>
          <w:ilvl w:val="0"/>
          <w:numId w:val="5"/>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CASTELNUOVO, R. (2022). Procesos de Socialización Primaria y Secundaria. Documento de Cátedra. Psicología Educacional, Instituto Superior de Formación Docente 803, Puerto Madryn.</w:t>
      </w:r>
    </w:p>
    <w:p w:rsidR="00000000" w:rsidDel="00000000" w:rsidP="00000000" w:rsidRDefault="00000000" w:rsidRPr="00000000" w14:paraId="00000042">
      <w:pPr>
        <w:numPr>
          <w:ilvl w:val="0"/>
          <w:numId w:val="5"/>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LELIWA, S, SCANGARELLO, I (2011). Psicología y Educación. Cap.2 Constitución del Sujeto Psíquico. Edit. Brujas, Córdoba.</w:t>
      </w:r>
    </w:p>
    <w:p w:rsidR="00000000" w:rsidDel="00000000" w:rsidP="00000000" w:rsidRDefault="00000000" w:rsidRPr="00000000" w14:paraId="00000043">
      <w:pPr>
        <w:numPr>
          <w:ilvl w:val="0"/>
          <w:numId w:val="5"/>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RODRIGO, M. J. (1997) "El hombre de la calle, el científico y el alumno: ¿un solo constructivismo o tres?". Novedades Educativas, vol. 76, pp. 59-61.</w:t>
      </w:r>
    </w:p>
    <w:p w:rsidR="00000000" w:rsidDel="00000000" w:rsidP="00000000" w:rsidRDefault="00000000" w:rsidRPr="00000000" w14:paraId="00000044">
      <w:pPr>
        <w:numPr>
          <w:ilvl w:val="0"/>
          <w:numId w:val="5"/>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TAPIA, J. A. (1997). Cap. 1. Un problema: ¿qué hacer para motivar a mis alumnos?, Cap. 2 Razones de los alumnos y alumnas para trabajar en clase. En “Motivar para el aprendizaje”. Edebé. España.   Capitulo 1 y 2</w:t>
      </w:r>
    </w:p>
    <w:p w:rsidR="00000000" w:rsidDel="00000000" w:rsidP="00000000" w:rsidRDefault="00000000" w:rsidRPr="00000000" w14:paraId="00000045">
      <w:pPr>
        <w:numPr>
          <w:ilvl w:val="0"/>
          <w:numId w:val="5"/>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BARREIRO, T. (2009). Los del Fondo (Capítulos 2, 4 y 6). Novedades Educativas.</w:t>
      </w:r>
    </w:p>
    <w:p w:rsidR="00000000" w:rsidDel="00000000" w:rsidP="00000000" w:rsidRDefault="00000000" w:rsidRPr="00000000" w14:paraId="00000046">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Complementaria:</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BERGER P. y T. LUCKMANN (1986): La construcción social de la realidad. Amorrortu, Buenos Aires.</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BORZONE, A. M., ROSEMBERG, C. R., DIUK, B., SILVESTRI, A. &amp; PLANA, D. (2004). Niños y maestros por el camino de la alfabetización. Red de Apoyo Escolar, Ministerio de Educación, Buenos Aires.</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HUERTAS, J (1997). Motivaciòn, querer aprender. Aique Grupo Editor S.A.</w:t>
      </w:r>
    </w:p>
    <w:p w:rsidR="00000000" w:rsidDel="00000000" w:rsidP="00000000" w:rsidRDefault="00000000" w:rsidRPr="00000000" w14:paraId="0000004A">
      <w:pPr>
        <w:spacing w:after="24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EJE 3: El aula, educación inclusiva</w:t>
      </w:r>
      <w:r w:rsidDel="00000000" w:rsidR="00000000" w:rsidRPr="00000000">
        <w:rPr>
          <w:rtl w:val="0"/>
        </w:rPr>
      </w:r>
    </w:p>
    <w:p w:rsidR="00000000" w:rsidDel="00000000" w:rsidP="00000000" w:rsidRDefault="00000000" w:rsidRPr="00000000" w14:paraId="0000004B">
      <w:pPr>
        <w:spacing w:after="0" w:before="5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Aprender en el aula. Clima de la clase, vínculos, interacciones, relaciones de poder. Dimensión Psicoafectiva. Infancias y adolescencias en las escuelas. La educación inclusiva y los sujetos.</w:t>
      </w:r>
    </w:p>
    <w:p w:rsidR="00000000" w:rsidDel="00000000" w:rsidP="00000000" w:rsidRDefault="00000000" w:rsidRPr="00000000" w14:paraId="0000004C">
      <w:pPr>
        <w:spacing w:after="0" w:before="5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Inclusión, ideal pansófico comeniano y homogeneización. Redistribución y reconocimiento. Inclusión y calidad. Inclusión e integración: concepciones acerca de lo diverso. El fracaso escolar desde una perspectiva psicoeducativa situacional. Crítica al modelo patológico individual del fracaso escolar.</w:t>
      </w:r>
    </w:p>
    <w:p w:rsidR="00000000" w:rsidDel="00000000" w:rsidP="00000000" w:rsidRDefault="00000000" w:rsidRPr="00000000" w14:paraId="0000004D">
      <w:pPr>
        <w:spacing w:after="0" w:before="5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Inclusión e integración. Culturas, políticas y prácticas inclusivas. De las “necesidades educativas especiales” a la consideración de las “barreras para el aprendizaje y la participación”. Igualdad, diversidad y justicia. Prácticas inclusivas en el caso del trastorno del espectro autista (TEA). Trastorno o condición.</w:t>
      </w:r>
    </w:p>
    <w:p w:rsidR="00000000" w:rsidDel="00000000" w:rsidP="00000000" w:rsidRDefault="00000000" w:rsidRPr="00000000" w14:paraId="0000004E">
      <w:pPr>
        <w:spacing w:after="0" w:before="5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Discapacidad o neurodiversidad. La importancia del diagnóstico. Algunas estrategias de intervención educativa. Trabajo con la confianza de los alumnos y la eliminación de etiquetas en el desarrollo de la práctica. Autoridad.</w:t>
      </w:r>
    </w:p>
    <w:p w:rsidR="00000000" w:rsidDel="00000000" w:rsidP="00000000" w:rsidRDefault="00000000" w:rsidRPr="00000000" w14:paraId="0000004F">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Obligatoria:</w:t>
      </w:r>
    </w:p>
    <w:p w:rsidR="00000000" w:rsidDel="00000000" w:rsidP="00000000" w:rsidRDefault="00000000" w:rsidRPr="00000000" w14:paraId="00000050">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BARREIRO, T. (2009). Los del Fondo. Novedades Educativas.</w:t>
      </w:r>
    </w:p>
    <w:p w:rsidR="00000000" w:rsidDel="00000000" w:rsidP="00000000" w:rsidRDefault="00000000" w:rsidRPr="00000000" w14:paraId="00000051">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BENASAYAG, M. &amp; SCHMIT, G. (2010). Ética y etiqueta. Cap. 6. En Las pasiones tristes. Sufrimiento psíquico y crisis social (pp. 77-97). Buenos Aires: Siglo XXI.</w:t>
      </w:r>
    </w:p>
    <w:p w:rsidR="00000000" w:rsidDel="00000000" w:rsidP="00000000" w:rsidRDefault="00000000" w:rsidRPr="00000000" w14:paraId="00000052">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CADAVEIRA, M. (2019). Cap. 2. Autismos: otras formas de ver el mundo. En L. Bakker y J. Rubiales, Neuroeducación y diversidad. Herramientas para potenciar las diferentes maneras de aprender (pp. 21-34). Buenos Aires: Akadia.</w:t>
      </w:r>
    </w:p>
    <w:p w:rsidR="00000000" w:rsidDel="00000000" w:rsidP="00000000" w:rsidRDefault="00000000" w:rsidRPr="00000000" w14:paraId="00000053">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CORNU, L. (1999) La confianza en las relaciones pedagógicas. En G. Frigerio; M. Poggi; D. Korinfeld (comps) Construyendo un saber sobre el interior de la escuela (pp. 19-26). Buenos Aires: CEM-Novedades Educativas</w:t>
      </w:r>
    </w:p>
    <w:p w:rsidR="00000000" w:rsidDel="00000000" w:rsidP="00000000" w:rsidRDefault="00000000" w:rsidRPr="00000000" w14:paraId="00000054">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GLAZ, C. (2017). Problemáticas en el aprendizaje de jóvenes y adultos, en De aquí y de allá Experiencias en escenarios educativos interpeladas desde la perspectiva sociocultural. Compilado y editado por Cristina Erausquin – 1a ed. PsiDispa, CABA.</w:t>
      </w:r>
    </w:p>
    <w:p w:rsidR="00000000" w:rsidDel="00000000" w:rsidP="00000000" w:rsidRDefault="00000000" w:rsidRPr="00000000" w14:paraId="00000055">
      <w:pPr>
        <w:widowControl w:val="0"/>
        <w:numPr>
          <w:ilvl w:val="0"/>
          <w:numId w:val="1"/>
        </w:numPr>
        <w:spacing w:line="360" w:lineRule="auto"/>
        <w:ind w:left="720" w:hanging="360"/>
        <w:jc w:val="both"/>
      </w:pPr>
      <w:r w:rsidDel="00000000" w:rsidR="00000000" w:rsidRPr="00000000">
        <w:rPr>
          <w:rFonts w:ascii="Arial" w:cs="Arial" w:eastAsia="Arial" w:hAnsi="Arial"/>
          <w:sz w:val="22"/>
          <w:szCs w:val="22"/>
          <w:rtl w:val="0"/>
        </w:rPr>
        <w:t xml:space="preserve">MINISTERIO DE EDUCACIÓN, CULTURA, CIENCIA Y TECNOLOGÍA (2019). Educación Inclusiva: fundamentos y prácticas para la inclusión. La Ed. Ministerio de educación, Cultura, Ciencia y Tecnología. CABA. ISNB 978-987-47076-5-9</w:t>
      </w:r>
    </w:p>
    <w:p w:rsidR="00000000" w:rsidDel="00000000" w:rsidP="00000000" w:rsidRDefault="00000000" w:rsidRPr="00000000" w14:paraId="00000056">
      <w:pPr>
        <w:widowControl w:val="0"/>
        <w:numPr>
          <w:ilvl w:val="0"/>
          <w:numId w:val="1"/>
        </w:numPr>
        <w:spacing w:line="360" w:lineRule="auto"/>
        <w:ind w:left="720" w:hanging="360"/>
        <w:jc w:val="both"/>
      </w:pPr>
      <w:r w:rsidDel="00000000" w:rsidR="00000000" w:rsidRPr="00000000">
        <w:rPr>
          <w:rFonts w:ascii="Arial" w:cs="Arial" w:eastAsia="Arial" w:hAnsi="Arial"/>
          <w:sz w:val="22"/>
          <w:szCs w:val="22"/>
          <w:rtl w:val="0"/>
        </w:rPr>
        <w:t xml:space="preserve">MINISTERIO DE EDUCACIÓN, CULTURA, CIENCIA Y TECNOLOGÍA (2019). Eliminando barreras para el aprendizaje y la participación en alumnos con dificultades específicas del aprendizaje (DEA). La Ed. Ministerio de educación, Cultura, Ciencia y Tecnología. CABA. ISNB 978-987-47076-6-6</w:t>
      </w:r>
    </w:p>
    <w:p w:rsidR="00000000" w:rsidDel="00000000" w:rsidP="00000000" w:rsidRDefault="00000000" w:rsidRPr="00000000" w14:paraId="00000057">
      <w:pPr>
        <w:widowControl w:val="0"/>
        <w:numPr>
          <w:ilvl w:val="0"/>
          <w:numId w:val="1"/>
        </w:numPr>
        <w:spacing w:line="360" w:lineRule="auto"/>
        <w:ind w:left="720" w:hanging="360"/>
        <w:jc w:val="both"/>
      </w:pPr>
      <w:r w:rsidDel="00000000" w:rsidR="00000000" w:rsidRPr="00000000">
        <w:rPr>
          <w:rFonts w:ascii="Arial" w:cs="Arial" w:eastAsia="Arial" w:hAnsi="Arial"/>
          <w:sz w:val="22"/>
          <w:szCs w:val="22"/>
          <w:rtl w:val="0"/>
        </w:rPr>
        <w:t xml:space="preserve">MINISTERIO DE EDUCACIÓN, CULTURA, CIENCIA Y TECNOLOGÍA (2019). Eliminando barreras para el aprendizaje y la participación en alumnos con trastorno del espectro autista (TEA). La Ed. Ministerio de educación, Cultura, Ciencia y Tecnología. CABA. ISNB 978-987-47076-8-0</w:t>
      </w:r>
      <w:r w:rsidDel="00000000" w:rsidR="00000000" w:rsidRPr="00000000">
        <w:rPr>
          <w:rtl w:val="0"/>
        </w:rPr>
      </w:r>
    </w:p>
    <w:p w:rsidR="00000000" w:rsidDel="00000000" w:rsidP="00000000" w:rsidRDefault="00000000" w:rsidRPr="00000000" w14:paraId="00000058">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NARODOWSKI, M. (2008). La inclusión educativa. Reflexiones y propuestas entre las teorías, las demandas y los slogans. REICE, Revista Electrónica Iberoamericana sobre Calidad, Eficacia y Cambio en Educación, 6(2), 19-26.</w:t>
      </w:r>
    </w:p>
    <w:p w:rsidR="00000000" w:rsidDel="00000000" w:rsidP="00000000" w:rsidRDefault="00000000" w:rsidRPr="00000000" w14:paraId="00000059">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TERIGI, F. (2009). El fracaso escolar desde la perspectiva psicoeducativa: hacia una reconceptualización situacional. Revista Iberoamericana de Educación. N° 50, pp. 23-39. /13/</w:t>
      </w:r>
    </w:p>
    <w:p w:rsidR="00000000" w:rsidDel="00000000" w:rsidP="00000000" w:rsidRDefault="00000000" w:rsidRPr="00000000" w14:paraId="0000005A">
      <w:pPr>
        <w:numPr>
          <w:ilvl w:val="0"/>
          <w:numId w:val="1"/>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VALDEZ, D. (2017). Cap. 6. Educación inclusiva. En J. A. Seda, La convención sobre los derechos de las personas con discapacidad (pp. 83-96). Buenos Aires: Eudeba.</w:t>
      </w:r>
    </w:p>
    <w:p w:rsidR="00000000" w:rsidDel="00000000" w:rsidP="00000000" w:rsidRDefault="00000000" w:rsidRPr="00000000" w14:paraId="0000005B">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Bibliografía Complementaria:</w:t>
      </w:r>
    </w:p>
    <w:p w:rsidR="00000000" w:rsidDel="00000000" w:rsidP="00000000" w:rsidRDefault="00000000" w:rsidRPr="00000000" w14:paraId="0000005C">
      <w:pPr>
        <w:numPr>
          <w:ilvl w:val="0"/>
          <w:numId w:val="2"/>
        </w:numPr>
        <w:spacing w:after="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DUSSEL I., SOUTHWELL Y OTROS. La autoridad en cuestión. En AAVV DOSSIER Monitor, Sumario N°20. Pp.25-40</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hd w:fill="0d0d0d" w:val="clear"/>
        <w:spacing w:after="24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4. EVALUACIÓN – ACREDITACIÓN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La evaluación está diseñada como una parte del proceso de enseñanza y aprendizaje. Permite introducir durante los mismos, transformaciones que puedan ser necesarias para alcanzar los objetivos previstos. Por otra parte, posibilita al estudiantado reflexionar sobre los aprendizajes realizados, conociendo a través del intercambio con el docente aquellos contenidos que deberán afianzarse.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Los criterios tenidos en cuenta en el proceso de aprendizaje a la hora de evaluar: Responsabilidad; Compromiso activo en el proceso de aprendizaje; Voluntad de superación de las dificultades; Capacidad de trabajo conjunto para el logro de objetivos compartidos; Capacidad de análisis, reflexión y crítica; Conocimiento de los contenidos y pertinencia en la terminología utilizada; Presentación en tiempo y forma de las producciones solicitadas; Coherencia y cohesión del lenguaje oral y escrito; Adecuación a las consignas, y; Capacidad creativa, originalidad.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En cuanto al proceso de enseñanza, se plantean indagación y análisis respecto de: lo realizado y lo planificado. Reflexión sobre el grado de concreción de los objetivos planteados en la propuesta. En la misma, se tendrá en cuenta la congruencia entre lo programado para el desarrollo de la cursada y las intervenciones de la docente como guía y motivadora en el proceso. Es importante el registro de los recursos, estrategias y metodologías utilizadas (tiempos, espacios, tipos de agrupaciones utilizadas, instrumentos de evaluación, dinámicas áulicas, entre otros), y el efecto en los procesos de aprendizaje.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after="24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ACREDITACIÓN (CONDICIONES ALUMNO/A REGULAR Y LIBRE)</w:t>
      </w:r>
      <w:r w:rsidDel="00000000" w:rsidR="00000000" w:rsidRPr="00000000">
        <w:rPr>
          <w:rtl w:val="0"/>
        </w:rPr>
      </w:r>
    </w:p>
    <w:p w:rsidR="00000000" w:rsidDel="00000000" w:rsidP="00000000" w:rsidRDefault="00000000" w:rsidRPr="00000000" w14:paraId="00000063">
      <w:pPr>
        <w:numPr>
          <w:ilvl w:val="0"/>
          <w:numId w:val="2"/>
        </w:numPr>
        <w:spacing w:after="240" w:lineRule="auto"/>
        <w:ind w:left="720" w:hanging="36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ALUMNOS/AS REGULARES</w:t>
      </w:r>
      <w:r w:rsidDel="00000000" w:rsidR="00000000" w:rsidRPr="00000000">
        <w:rPr>
          <w:rtl w:val="0"/>
        </w:rPr>
      </w:r>
    </w:p>
    <w:p w:rsidR="00000000" w:rsidDel="00000000" w:rsidP="00000000" w:rsidRDefault="00000000" w:rsidRPr="00000000" w14:paraId="00000064">
      <w:pPr>
        <w:spacing w:after="240" w:lineRule="auto"/>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Aprobación con examen final:</w:t>
      </w:r>
    </w:p>
    <w:p w:rsidR="00000000" w:rsidDel="00000000" w:rsidP="00000000" w:rsidRDefault="00000000" w:rsidRPr="00000000" w14:paraId="00000065">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Aprobar dos parciales con una nota de 4 a 6 puntos o sus correspondientes recuperatorios.</w:t>
      </w:r>
    </w:p>
    <w:p w:rsidR="00000000" w:rsidDel="00000000" w:rsidP="00000000" w:rsidRDefault="00000000" w:rsidRPr="00000000" w14:paraId="00000066">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Aprobar trabajos prácticos con una nota de 4 puntos o sus correspondientes recuperatorios.</w:t>
      </w:r>
    </w:p>
    <w:p w:rsidR="00000000" w:rsidDel="00000000" w:rsidP="00000000" w:rsidRDefault="00000000" w:rsidRPr="00000000" w14:paraId="00000067">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Cumplir con el 60 al 79% de asistencia.</w:t>
      </w:r>
    </w:p>
    <w:p w:rsidR="00000000" w:rsidDel="00000000" w:rsidP="00000000" w:rsidRDefault="00000000" w:rsidRPr="00000000" w14:paraId="00000068">
      <w:pPr>
        <w:spacing w:after="240" w:lineRule="auto"/>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Promoción sin examen final:</w:t>
      </w:r>
    </w:p>
    <w:p w:rsidR="00000000" w:rsidDel="00000000" w:rsidP="00000000" w:rsidRDefault="00000000" w:rsidRPr="00000000" w14:paraId="00000069">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Aprobar dos parciales con una nota de 7 o más.</w:t>
      </w:r>
    </w:p>
    <w:p w:rsidR="00000000" w:rsidDel="00000000" w:rsidP="00000000" w:rsidRDefault="00000000" w:rsidRPr="00000000" w14:paraId="0000006A">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Aprobar los trabajos prácticos con una nota de 7 o más. </w:t>
      </w:r>
    </w:p>
    <w:p w:rsidR="00000000" w:rsidDel="00000000" w:rsidP="00000000" w:rsidRDefault="00000000" w:rsidRPr="00000000" w14:paraId="0000006B">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Cumplir con un mínimo de 80% de asistencia.</w:t>
      </w:r>
    </w:p>
    <w:p w:rsidR="00000000" w:rsidDel="00000000" w:rsidP="00000000" w:rsidRDefault="00000000" w:rsidRPr="00000000" w14:paraId="0000006C">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la nota de parcial o trabajo práctico sea entre 4 a 6 puntos, se podrá solicitar rendir la instancia recuperatoria, aspirando a promocionar. En la medida de efectuarse, la nota del recuperatorio ANULA la del trabajo práctico o parcial de la primera instancia (independientemente de cuál haya sido allí la nota).</w:t>
      </w:r>
    </w:p>
    <w:p w:rsidR="00000000" w:rsidDel="00000000" w:rsidP="00000000" w:rsidRDefault="00000000" w:rsidRPr="00000000" w14:paraId="0000006D">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Condiciones para la desaprobación:</w:t>
      </w:r>
    </w:p>
    <w:p w:rsidR="00000000" w:rsidDel="00000000" w:rsidP="00000000" w:rsidRDefault="00000000" w:rsidRPr="00000000" w14:paraId="0000006E">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Obtener una nota de 1 a 3 en cualquiera de las instancias de recuperatorio de parciales o trabajos prácticos.</w:t>
      </w:r>
    </w:p>
    <w:p w:rsidR="00000000" w:rsidDel="00000000" w:rsidP="00000000" w:rsidRDefault="00000000" w:rsidRPr="00000000" w14:paraId="0000006F">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Aquellos/as que desaprueben la asignatura, deberán recursar o rendir examen libre.</w:t>
      </w:r>
    </w:p>
    <w:p w:rsidR="00000000" w:rsidDel="00000000" w:rsidP="00000000" w:rsidRDefault="00000000" w:rsidRPr="00000000" w14:paraId="00000070">
      <w:pPr>
        <w:numPr>
          <w:ilvl w:val="0"/>
          <w:numId w:val="2"/>
        </w:numPr>
        <w:spacing w:after="240" w:lineRule="auto"/>
        <w:ind w:left="720" w:hanging="36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ALUMNOS/AS EN CONSICIÒN DE LIBRES</w:t>
      </w:r>
      <w:r w:rsidDel="00000000" w:rsidR="00000000" w:rsidRPr="00000000">
        <w:rPr>
          <w:rtl w:val="0"/>
        </w:rPr>
      </w:r>
    </w:p>
    <w:p w:rsidR="00000000" w:rsidDel="00000000" w:rsidP="00000000" w:rsidRDefault="00000000" w:rsidRPr="00000000" w14:paraId="00000071">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Examen Libre:</w:t>
      </w:r>
    </w:p>
    <w:p w:rsidR="00000000" w:rsidDel="00000000" w:rsidP="00000000" w:rsidRDefault="00000000" w:rsidRPr="00000000" w14:paraId="00000072">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Deberá ponerse previamente en contacto con el docente vía mail para acordar encuentros personalizados a fin de orientar la bibliografía y las temáticas de cada eje del programa. Rendirá el mismo día en las fechas finales un examen escrito a desarrollar y un examen oral ante comisión evaluadora; deberán aprobar cada uno de ellos. Ambos incluyen todos los contenidos de la asignatura.</w:t>
      </w:r>
    </w:p>
    <w:p w:rsidR="00000000" w:rsidDel="00000000" w:rsidP="00000000" w:rsidRDefault="00000000" w:rsidRPr="00000000" w14:paraId="00000073">
      <w:pPr>
        <w:numPr>
          <w:ilvl w:val="0"/>
          <w:numId w:val="2"/>
        </w:numPr>
        <w:spacing w:after="240" w:lineRule="auto"/>
        <w:ind w:left="720" w:hanging="36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EXAMEN FINAL</w:t>
      </w:r>
      <w:r w:rsidDel="00000000" w:rsidR="00000000" w:rsidRPr="00000000">
        <w:rPr>
          <w:rtl w:val="0"/>
        </w:rPr>
      </w:r>
    </w:p>
    <w:p w:rsidR="00000000" w:rsidDel="00000000" w:rsidP="00000000" w:rsidRDefault="00000000" w:rsidRPr="00000000" w14:paraId="00000074">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examen final es individual, oral e implica todas las temáticas vistas a lo largo de la cursada. La nota mínima de aprobación es de 4 (cuatro).</w:t>
      </w:r>
    </w:p>
    <w:sectPr>
      <w:footerReference r:id="rId8"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Título1">
    <w:name w:val="Título 1"/>
    <w:basedOn w:val="Normal"/>
    <w:next w:val="Normal"/>
    <w:autoRedefine w:val="0"/>
    <w:hidden w:val="0"/>
    <w:qFormat w:val="0"/>
    <w:pPr>
      <w:keepNext w:val="1"/>
      <w:suppressAutoHyphens w:val="0"/>
      <w:spacing w:after="60" w:before="240" w:line="1" w:lineRule="atLeast"/>
      <w:ind w:leftChars="-1" w:rightChars="0" w:firstLineChars="-1"/>
      <w:textDirection w:val="btLr"/>
      <w:textAlignment w:val="top"/>
      <w:outlineLvl w:val="0"/>
    </w:pPr>
    <w:rPr>
      <w:rFonts w:ascii="Aptos Display" w:cs="Times New Roman" w:eastAsia="Times New Roman" w:hAnsi="Aptos Display"/>
      <w:b w:val="1"/>
      <w:bCs w:val="1"/>
      <w:w w:val="100"/>
      <w:kern w:val="32"/>
      <w:position w:val="-1"/>
      <w:sz w:val="32"/>
      <w:szCs w:val="32"/>
      <w:effect w:val="none"/>
      <w:vertAlign w:val="baseline"/>
      <w:cs w:val="0"/>
      <w:em w:val="none"/>
      <w:lang w:bidi="ar-SA" w:eastAsia="ar-SA" w:val="es-ES"/>
    </w:rPr>
  </w:style>
  <w:style w:type="paragraph" w:styleId="Título2">
    <w:name w:val="Título 2"/>
    <w:basedOn w:val="Normal"/>
    <w:next w:val="Normal"/>
    <w:autoRedefine w:val="0"/>
    <w:hidden w:val="0"/>
    <w:qFormat w:val="0"/>
    <w:pPr>
      <w:keepNext w:val="1"/>
      <w:numPr>
        <w:ilvl w:val="1"/>
        <w:numId w:val="1"/>
      </w:numPr>
      <w:suppressAutoHyphens w:val="0"/>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ar-SA" w:val="es-MX"/>
    </w:rPr>
  </w:style>
  <w:style w:type="paragraph" w:styleId="Título3">
    <w:name w:val="Título 3"/>
    <w:basedOn w:val="Normal"/>
    <w:next w:val="Normal"/>
    <w:autoRedefine w:val="0"/>
    <w:hidden w:val="0"/>
    <w:qFormat w:val="0"/>
    <w:pPr>
      <w:keepNext w:val="1"/>
      <w:numPr>
        <w:ilvl w:val="2"/>
        <w:numId w:val="1"/>
      </w:numPr>
      <w:suppressAutoHyphens w:val="0"/>
      <w:spacing w:line="1" w:lineRule="atLeast"/>
      <w:ind w:leftChars="-1" w:rightChars="0" w:firstLineChars="-1"/>
      <w:textDirection w:val="btLr"/>
      <w:textAlignment w:val="top"/>
      <w:outlineLvl w:val="2"/>
    </w:pPr>
    <w:rPr>
      <w:rFonts w:ascii="Arial" w:eastAsia="Arial Unicode MS" w:hAnsi="Arial"/>
      <w:w w:val="100"/>
      <w:position w:val="-1"/>
      <w:effect w:val="none"/>
      <w:vertAlign w:val="baseline"/>
      <w:cs w:val="0"/>
      <w:em w:val="none"/>
      <w:lang w:bidi="ar-SA" w:eastAsia="ar-SA" w:val="es-ES"/>
    </w:rPr>
  </w:style>
  <w:style w:type="paragraph" w:styleId="Título4">
    <w:name w:val="Título 4"/>
    <w:basedOn w:val="Normal"/>
    <w:next w:val="Normal"/>
    <w:autoRedefine w:val="0"/>
    <w:hidden w:val="0"/>
    <w:qFormat w:val="0"/>
    <w:pPr>
      <w:keepNext w:val="1"/>
      <w:shd w:color="auto" w:fill="e6e6e6" w:val="clear"/>
      <w:suppressAutoHyphens w:val="1"/>
      <w:spacing w:after="227" w:before="227" w:line="1" w:lineRule="atLeast"/>
      <w:ind w:leftChars="-1" w:rightChars="0" w:firstLineChars="-1"/>
      <w:textDirection w:val="btLr"/>
      <w:textAlignment w:val="top"/>
      <w:outlineLvl w:val="3"/>
    </w:pPr>
    <w:rPr>
      <w:b w:val="1"/>
      <w:bCs w:val="1"/>
      <w:color w:val="00000a"/>
      <w:w w:val="100"/>
      <w:position w:val="-1"/>
      <w:sz w:val="30"/>
      <w:szCs w:val="24"/>
      <w:effect w:val="none"/>
      <w:vertAlign w:val="baseline"/>
      <w:cs w:val="0"/>
      <w:em w:val="none"/>
      <w:lang w:bidi="hi-IN" w:eastAsia="zh-CN"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w w:val="100"/>
      <w:position w:val="-1"/>
      <w:sz w:val="24"/>
      <w:effect w:val="none"/>
      <w:vertAlign w:val="baseline"/>
      <w:cs w:val="0"/>
      <w:em w:val="none"/>
      <w:lang/>
    </w:rPr>
  </w:style>
  <w:style w:type="character" w:styleId="WW8Num5z0">
    <w:name w:val="WW8Num5z0"/>
    <w:next w:val="WW8Num5z0"/>
    <w:autoRedefine w:val="0"/>
    <w:hidden w:val="0"/>
    <w:qFormat w:val="0"/>
    <w:rPr>
      <w:b w:val="0"/>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Times New Roman" w:cs="Times New Roman" w:hAnsi="Times New Roman"/>
      <w:w w:val="100"/>
      <w:position w:val="-1"/>
      <w:effect w:val="none"/>
      <w:vertAlign w:val="baseline"/>
      <w:cs w:val="0"/>
      <w:em w:val="none"/>
      <w:lang/>
    </w:rPr>
  </w:style>
  <w:style w:type="character" w:styleId="WW8Num9z0">
    <w:name w:val="WW8Num9z0"/>
    <w:next w:val="WW8Num9z0"/>
    <w:autoRedefine w:val="0"/>
    <w:hidden w:val="0"/>
    <w:qFormat w:val="0"/>
    <w:rPr>
      <w:rFonts w:ascii="Wingdings" w:hAnsi="Wingdings"/>
      <w:w w:val="100"/>
      <w:position w:val="-1"/>
      <w:effect w:val="none"/>
      <w:vertAlign w:val="baseline"/>
      <w:cs w:val="0"/>
      <w:em w:val="none"/>
      <w:lang/>
    </w:rPr>
  </w:style>
  <w:style w:type="character" w:styleId="WW8Num10z0">
    <w:name w:val="WW8Num10z0"/>
    <w:next w:val="WW8Num10z0"/>
    <w:autoRedefine w:val="0"/>
    <w:hidden w:val="0"/>
    <w:qFormat w:val="0"/>
    <w:rPr>
      <w:rFonts w:ascii="Wingdings" w:hAnsi="Wingdings"/>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3z0">
    <w:name w:val="WW8Num13z0"/>
    <w:next w:val="WW8Num13z0"/>
    <w:autoRedefine w:val="0"/>
    <w:hidden w:val="0"/>
    <w:qFormat w:val="0"/>
    <w:rPr>
      <w:rFonts w:ascii="Wingdings" w:hAnsi="Wingdings"/>
      <w:w w:val="100"/>
      <w:position w:val="-1"/>
      <w:sz w:val="24"/>
      <w:effect w:val="none"/>
      <w:vertAlign w:val="baseline"/>
      <w:cs w:val="0"/>
      <w:em w:val="none"/>
      <w:lang/>
    </w:rPr>
  </w:style>
  <w:style w:type="character" w:styleId="WW8Num14z0">
    <w:name w:val="WW8Num14z0"/>
    <w:next w:val="WW8Num14z0"/>
    <w:autoRedefine w:val="0"/>
    <w:hidden w:val="0"/>
    <w:qFormat w:val="0"/>
    <w:rPr>
      <w:rFonts w:ascii="Comic Sans MS" w:hAnsi="Comic Sans MS"/>
      <w:w w:val="100"/>
      <w:position w:val="-1"/>
      <w:effect w:val="none"/>
      <w:vertAlign w:val="baseline"/>
      <w:cs w:val="0"/>
      <w:em w:val="none"/>
      <w:lang/>
    </w:rPr>
  </w:style>
  <w:style w:type="character" w:styleId="WW8Num15z0">
    <w:name w:val="WW8Num15z0"/>
    <w:next w:val="WW8Num15z0"/>
    <w:autoRedefine w:val="0"/>
    <w:hidden w:val="0"/>
    <w:qFormat w:val="0"/>
    <w:rPr>
      <w:rFonts w:ascii="Wingdings" w:hAnsi="Wingdings"/>
      <w:w w:val="100"/>
      <w:position w:val="-1"/>
      <w:sz w:val="24"/>
      <w:effect w:val="none"/>
      <w:vertAlign w:val="baseline"/>
      <w:cs w:val="0"/>
      <w:em w:val="none"/>
      <w:lang/>
    </w:rPr>
  </w:style>
  <w:style w:type="character" w:styleId="WW8Num17z0">
    <w:name w:val="WW8Num17z0"/>
    <w:next w:val="WW8Num17z0"/>
    <w:autoRedefine w:val="0"/>
    <w:hidden w:val="0"/>
    <w:qFormat w:val="0"/>
    <w:rPr>
      <w:rFonts w:ascii="Wingdings" w:hAnsi="Wingdings"/>
      <w:w w:val="100"/>
      <w:position w:val="-1"/>
      <w:effect w:val="none"/>
      <w:vertAlign w:val="baseline"/>
      <w:cs w:val="0"/>
      <w:em w:val="none"/>
      <w:lang/>
    </w:rPr>
  </w:style>
  <w:style w:type="character" w:styleId="WW8Num17z1">
    <w:name w:val="WW8Num17z1"/>
    <w:next w:val="WW8Num17z1"/>
    <w:autoRedefine w:val="0"/>
    <w:hidden w:val="0"/>
    <w:qFormat w:val="0"/>
    <w:rPr>
      <w:rFonts w:ascii="Symbol" w:hAnsi="Symbol"/>
      <w:w w:val="100"/>
      <w:position w:val="-1"/>
      <w:effect w:val="none"/>
      <w:vertAlign w:val="baseline"/>
      <w:cs w:val="0"/>
      <w:em w:val="none"/>
      <w:lang/>
    </w:rPr>
  </w:style>
  <w:style w:type="character" w:styleId="WW8Num17z4">
    <w:name w:val="WW8Num17z4"/>
    <w:next w:val="WW8Num17z4"/>
    <w:autoRedefine w:val="0"/>
    <w:hidden w:val="0"/>
    <w:qFormat w:val="0"/>
    <w:rPr>
      <w:rFonts w:ascii="Courier New" w:hAnsi="Courier New"/>
      <w:w w:val="100"/>
      <w:position w:val="-1"/>
      <w:effect w:val="none"/>
      <w:vertAlign w:val="baseline"/>
      <w:cs w:val="0"/>
      <w:em w:val="none"/>
      <w:lang/>
    </w:rPr>
  </w:style>
  <w:style w:type="character" w:styleId="WW8Num18z0">
    <w:name w:val="WW8Num18z0"/>
    <w:next w:val="WW8Num18z0"/>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Wingdings" w:hAnsi="Wingdings"/>
      <w:w w:val="100"/>
      <w:position w:val="-1"/>
      <w:effect w:val="none"/>
      <w:vertAlign w:val="baseline"/>
      <w:cs w:val="0"/>
      <w:em w:val="none"/>
      <w:lang/>
    </w:rPr>
  </w:style>
  <w:style w:type="character" w:styleId="WW8Num19z1">
    <w:name w:val="WW8Num19z1"/>
    <w:next w:val="WW8Num19z1"/>
    <w:autoRedefine w:val="0"/>
    <w:hidden w:val="0"/>
    <w:qFormat w:val="0"/>
    <w:rPr>
      <w:rFonts w:ascii="Courier New" w:hAnsi="Courier New"/>
      <w:w w:val="100"/>
      <w:position w:val="-1"/>
      <w:effect w:val="none"/>
      <w:vertAlign w:val="baseline"/>
      <w:cs w:val="0"/>
      <w:em w:val="none"/>
      <w:lang/>
    </w:rPr>
  </w:style>
  <w:style w:type="character" w:styleId="WW8Num19z3">
    <w:name w:val="WW8Num19z3"/>
    <w:next w:val="WW8Num19z3"/>
    <w:autoRedefine w:val="0"/>
    <w:hidden w:val="0"/>
    <w:qFormat w:val="0"/>
    <w:rPr>
      <w:rFonts w:ascii="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Wingdings" w:hAnsi="Wingdings"/>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3">
    <w:name w:val="WW8Num21z3"/>
    <w:next w:val="WW8Num21z3"/>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Wingdings" w:hAnsi="Wingdings"/>
      <w:w w:val="100"/>
      <w:position w:val="-1"/>
      <w:effect w:val="none"/>
      <w:vertAlign w:val="baseline"/>
      <w:cs w:val="0"/>
      <w:em w:val="none"/>
      <w:lang/>
    </w:rPr>
  </w:style>
  <w:style w:type="character" w:styleId="WW8Num25z1">
    <w:name w:val="WW8Num25z1"/>
    <w:next w:val="WW8Num25z1"/>
    <w:autoRedefine w:val="0"/>
    <w:hidden w:val="0"/>
    <w:qFormat w:val="0"/>
    <w:rPr>
      <w:rFonts w:ascii="Courier New" w:hAnsi="Courier New"/>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Wingdings" w:hAnsi="Wingdings"/>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Wingdings" w:hAnsi="Wingdings"/>
      <w:w w:val="100"/>
      <w:position w:val="-1"/>
      <w:effect w:val="none"/>
      <w:vertAlign w:val="baseline"/>
      <w:cs w:val="0"/>
      <w:em w:val="none"/>
      <w:lang/>
    </w:rPr>
  </w:style>
  <w:style w:type="character" w:styleId="WW8Num30z1">
    <w:name w:val="WW8Num30z1"/>
    <w:next w:val="WW8Num30z1"/>
    <w:autoRedefine w:val="0"/>
    <w:hidden w:val="0"/>
    <w:qFormat w:val="0"/>
    <w:rPr>
      <w:rFonts w:ascii="Courier New" w:hAnsi="Courier New"/>
      <w:w w:val="100"/>
      <w:position w:val="-1"/>
      <w:effect w:val="none"/>
      <w:vertAlign w:val="baseline"/>
      <w:cs w:val="0"/>
      <w:em w:val="none"/>
      <w:lang/>
    </w:rPr>
  </w:style>
  <w:style w:type="character" w:styleId="WW8Num30z3">
    <w:name w:val="WW8Num30z3"/>
    <w:next w:val="WW8Num30z3"/>
    <w:autoRedefine w:val="0"/>
    <w:hidden w:val="0"/>
    <w:qFormat w:val="0"/>
    <w:rPr>
      <w:rFonts w:ascii="Symbol" w:hAnsi="Symbol"/>
      <w:w w:val="100"/>
      <w:position w:val="-1"/>
      <w:effect w:val="none"/>
      <w:vertAlign w:val="baseline"/>
      <w:cs w:val="0"/>
      <w:em w:val="none"/>
      <w:lang/>
    </w:rPr>
  </w:style>
  <w:style w:type="character" w:styleId="WW8Num31z0">
    <w:name w:val="WW8Num31z0"/>
    <w:next w:val="WW8Num31z0"/>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Times New Roman" w:hAnsi="Times New Roman"/>
      <w:w w:val="100"/>
      <w:position w:val="-1"/>
      <w:effect w:val="none"/>
      <w:vertAlign w:val="baseline"/>
      <w:cs w:val="0"/>
      <w:em w:val="none"/>
      <w:lang/>
    </w:rPr>
  </w:style>
  <w:style w:type="character" w:styleId="WW8Num34z0">
    <w:name w:val="WW8Num34z0"/>
    <w:next w:val="WW8Num34z0"/>
    <w:autoRedefine w:val="0"/>
    <w:hidden w:val="0"/>
    <w:qFormat w:val="0"/>
    <w:rPr>
      <w:rFonts w:ascii="Wingdings" w:hAnsi="Wingdings"/>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5z0">
    <w:name w:val="WW8Num35z0"/>
    <w:next w:val="WW8Num35z0"/>
    <w:autoRedefine w:val="0"/>
    <w:hidden w:val="0"/>
    <w:qFormat w:val="0"/>
    <w:rPr>
      <w:rFonts w:ascii="Wingdings" w:hAnsi="Wingdings"/>
      <w:w w:val="100"/>
      <w:position w:val="-1"/>
      <w:effect w:val="none"/>
      <w:vertAlign w:val="baseline"/>
      <w:cs w:val="0"/>
      <w:em w:val="none"/>
      <w:lang/>
    </w:rPr>
  </w:style>
  <w:style w:type="character" w:styleId="WW8Num35z1">
    <w:name w:val="WW8Num35z1"/>
    <w:next w:val="WW8Num35z1"/>
    <w:autoRedefine w:val="0"/>
    <w:hidden w:val="0"/>
    <w:qFormat w:val="0"/>
    <w:rPr>
      <w:rFonts w:ascii="Courier New" w:hAnsi="Courier New"/>
      <w:w w:val="100"/>
      <w:position w:val="-1"/>
      <w:effect w:val="none"/>
      <w:vertAlign w:val="baseline"/>
      <w:cs w:val="0"/>
      <w:em w:val="none"/>
      <w:lang/>
    </w:rPr>
  </w:style>
  <w:style w:type="character" w:styleId="WW8Num35z3">
    <w:name w:val="WW8Num35z3"/>
    <w:next w:val="WW8Num35z3"/>
    <w:autoRedefine w:val="0"/>
    <w:hidden w:val="0"/>
    <w:qFormat w:val="0"/>
    <w:rPr>
      <w:rFonts w:ascii="Symbol" w:hAnsi="Symbol"/>
      <w:w w:val="100"/>
      <w:position w:val="-1"/>
      <w:effect w:val="none"/>
      <w:vertAlign w:val="baseline"/>
      <w:cs w:val="0"/>
      <w:em w:val="none"/>
      <w:lang/>
    </w:rPr>
  </w:style>
  <w:style w:type="character" w:styleId="WW8Num36z0">
    <w:name w:val="WW8Num36z0"/>
    <w:next w:val="WW8Num36z0"/>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Courier New" w:hAnsi="Courier New"/>
      <w:w w:val="100"/>
      <w:position w:val="-1"/>
      <w:effect w:val="none"/>
      <w:vertAlign w:val="baseline"/>
      <w:cs w:val="0"/>
      <w:em w:val="none"/>
      <w:lang/>
    </w:rPr>
  </w:style>
  <w:style w:type="character" w:styleId="WW8Num36z3">
    <w:name w:val="WW8Num36z3"/>
    <w:next w:val="WW8Num36z3"/>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40z0">
    <w:name w:val="WW8Num40z0"/>
    <w:next w:val="WW8Num40z0"/>
    <w:autoRedefine w:val="0"/>
    <w:hidden w:val="0"/>
    <w:qFormat w:val="0"/>
    <w:rPr>
      <w:rFonts w:ascii="Times New Roman" w:cs="Times New Roman" w:hAnsi="Times New Roman"/>
      <w:w w:val="100"/>
      <w:position w:val="-1"/>
      <w:effect w:val="none"/>
      <w:vertAlign w:val="baseline"/>
      <w:cs w:val="0"/>
      <w:em w:val="none"/>
      <w:lang/>
    </w:rPr>
  </w:style>
  <w:style w:type="character" w:styleId="WW8Num41z0">
    <w:name w:val="WW8Num41z0"/>
    <w:next w:val="WW8Num41z0"/>
    <w:autoRedefine w:val="0"/>
    <w:hidden w:val="0"/>
    <w:qFormat w:val="0"/>
    <w:rPr>
      <w:rFonts w:ascii="Wingdings" w:hAnsi="Wingdings"/>
      <w:w w:val="100"/>
      <w:position w:val="-1"/>
      <w:effect w:val="none"/>
      <w:vertAlign w:val="baseline"/>
      <w:cs w:val="0"/>
      <w:em w:val="none"/>
      <w:lang/>
    </w:rPr>
  </w:style>
  <w:style w:type="character" w:styleId="WW8Num42z0">
    <w:name w:val="WW8Num42z0"/>
    <w:next w:val="WW8Num42z0"/>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Wingdings" w:hAnsi="Wingdings"/>
      <w:b w:val="0"/>
      <w:i w:val="0"/>
      <w:w w:val="100"/>
      <w:position w:val="-1"/>
      <w:sz w:val="24"/>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Símbolodenotaalpie">
    <w:name w:val="Símbolo de nota al pie"/>
    <w:next w:val="Símbolodenotaalpie"/>
    <w:autoRedefine w:val="0"/>
    <w:hidden w:val="0"/>
    <w:qFormat w:val="0"/>
    <w:rPr>
      <w:w w:val="100"/>
      <w:position w:val="-1"/>
      <w:effect w:val="none"/>
      <w:vertAlign w:val="superscript"/>
      <w:cs w:val="0"/>
      <w:em w:val="none"/>
      <w:lang/>
    </w:rPr>
  </w:style>
  <w:style w:type="character" w:styleId="MáquinadeescribirHTML">
    <w:name w:val="Máquina de escribir HTML"/>
    <w:next w:val="MáquinadeescribirHTML"/>
    <w:autoRedefine w:val="0"/>
    <w:hidden w:val="0"/>
    <w:qFormat w:val="0"/>
    <w:rPr>
      <w:rFonts w:ascii="Courier New" w:cs="Courier New" w:eastAsia="Courier New" w:hAnsi="Courier New"/>
      <w:w w:val="100"/>
      <w:position w:val="-1"/>
      <w:sz w:val="20"/>
      <w:szCs w:val="20"/>
      <w:effect w:val="none"/>
      <w:vertAlign w:val="baseline"/>
      <w:cs w:val="0"/>
      <w:em w:val="none"/>
      <w:lang/>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Helvetica" w:cs="Lucidasans" w:eastAsia="HG Mincho Light J" w:hAnsi="Helvetica"/>
      <w:w w:val="100"/>
      <w:position w:val="-1"/>
      <w:sz w:val="28"/>
      <w:szCs w:val="28"/>
      <w:effect w:val="none"/>
      <w:vertAlign w:val="baseline"/>
      <w:cs w:val="0"/>
      <w:em w:val="none"/>
      <w:lang w:bidi="ar-SA" w:eastAsia="ar-SA" w:val="es-E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s-ES"/>
    </w:rPr>
  </w:style>
  <w:style w:type="paragraph" w:styleId="Lista">
    <w:name w:val="Lista"/>
    <w:basedOn w:val="Textoindependiente"/>
    <w:next w:val="Lista"/>
    <w:autoRedefine w:val="0"/>
    <w:hidden w:val="0"/>
    <w:qFormat w:val="0"/>
    <w:pPr>
      <w:suppressAutoHyphens w:val="0"/>
      <w:spacing w:line="1" w:lineRule="atLeast"/>
      <w:ind w:leftChars="-1" w:rightChars="0" w:firstLineChars="-1"/>
      <w:textDirection w:val="btLr"/>
      <w:textAlignment w:val="top"/>
      <w:outlineLvl w:val="0"/>
    </w:pPr>
    <w:rPr>
      <w:rFonts w:ascii="Times" w:cs="Lucidasans" w:hAnsi="Times"/>
      <w:w w:val="100"/>
      <w:position w:val="-1"/>
      <w:sz w:val="24"/>
      <w:effect w:val="none"/>
      <w:vertAlign w:val="baseline"/>
      <w:cs w:val="0"/>
      <w:em w:val="none"/>
      <w:lang w:bidi="ar-SA" w:eastAsia="ar-SA" w:val="es-ES"/>
    </w:rPr>
  </w:style>
  <w:style w:type="paragraph" w:styleId="Etiqueta">
    <w:name w:val="Etiqueta"/>
    <w:basedOn w:val="Normal"/>
    <w:next w:val="Etiquet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Times" w:cs="Lucidasans" w:hAnsi="Times"/>
      <w:i w:val="1"/>
      <w:iCs w:val="1"/>
      <w:w w:val="100"/>
      <w:position w:val="-1"/>
      <w:sz w:val="24"/>
      <w:szCs w:val="24"/>
      <w:effect w:val="none"/>
      <w:vertAlign w:val="baseline"/>
      <w:cs w:val="0"/>
      <w:em w:val="none"/>
      <w:lang w:bidi="ar-SA" w:eastAsia="ar-SA"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Times" w:cs="Lucidasans" w:hAnsi="Times"/>
      <w:w w:val="100"/>
      <w:position w:val="-1"/>
      <w:effect w:val="none"/>
      <w:vertAlign w:val="baseline"/>
      <w:cs w:val="0"/>
      <w:em w:val="none"/>
      <w:lang w:bidi="ar-SA" w:eastAsia="ar-SA" w:val="es-ES"/>
    </w:rPr>
  </w:style>
  <w:style w:type="paragraph" w:styleId="Sangríadetextonormal">
    <w:name w:val="Sangría de texto normal"/>
    <w:basedOn w:val="Normal"/>
    <w:next w:val="Sangríadetextonormal"/>
    <w:autoRedefine w:val="0"/>
    <w:hidden w:val="0"/>
    <w:qFormat w:val="0"/>
    <w:pPr>
      <w:suppressAutoHyphens w:val="0"/>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ar-SA" w:val="es-MX"/>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Verdana" w:hAnsi="Verdana"/>
      <w:w w:val="100"/>
      <w:position w:val="-1"/>
      <w:sz w:val="24"/>
      <w:effect w:val="none"/>
      <w:vertAlign w:val="baseline"/>
      <w:cs w:val="0"/>
      <w:em w:val="none"/>
      <w:lang w:bidi="ar-SA" w:eastAsia="ar-SA" w:val="es-ES"/>
    </w:rPr>
  </w:style>
  <w:style w:type="paragraph" w:styleId="Epígrafe1">
    <w:name w:val="Epígrafe1"/>
    <w:basedOn w:val="Normal"/>
    <w:next w:val="Normal"/>
    <w:autoRedefine w:val="0"/>
    <w:hidden w:val="0"/>
    <w:qFormat w:val="0"/>
    <w:pPr>
      <w:suppressAutoHyphens w:val="0"/>
      <w:spacing w:line="1" w:lineRule="atLeast"/>
      <w:ind w:leftChars="-1" w:rightChars="0" w:firstLineChars="-1"/>
      <w:jc w:val="right"/>
      <w:textDirection w:val="btLr"/>
      <w:textAlignment w:val="top"/>
      <w:outlineLvl w:val="0"/>
    </w:pPr>
    <w:rPr>
      <w:b w:val="1"/>
      <w:w w:val="100"/>
      <w:position w:val="-1"/>
      <w:sz w:val="26"/>
      <w:effect w:val="none"/>
      <w:vertAlign w:val="baseline"/>
      <w:cs w:val="0"/>
      <w:em w:val="none"/>
      <w:lang w:bidi="ar-SA" w:eastAsia="ar-SA" w:val="es-ES"/>
    </w:rPr>
  </w:style>
  <w:style w:type="paragraph" w:styleId="Mapadeldocumento1">
    <w:name w:val="Mapa del documento1"/>
    <w:basedOn w:val="Normal"/>
    <w:next w:val="Mapadeldocumento1"/>
    <w:autoRedefine w:val="0"/>
    <w:hidden w:val="0"/>
    <w:qFormat w:val="0"/>
    <w:pPr>
      <w:shd w:color="auto" w:fill="000080" w:val="clear"/>
      <w:suppressAutoHyphens w:val="0"/>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ar-SA" w:val="es-ES"/>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s-ES"/>
    </w:rPr>
  </w:style>
  <w:style w:type="paragraph" w:styleId="PlainText">
    <w:name w:val="Plain Text"/>
    <w:basedOn w:val="Normal"/>
    <w:next w:val="PlainText"/>
    <w:autoRedefine w:val="0"/>
    <w:hidden w:val="0"/>
    <w:qFormat w:val="0"/>
    <w:pPr>
      <w:suppressAutoHyphens w:val="0"/>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ar-SA" w:val="es-ES"/>
    </w:rPr>
  </w:style>
  <w:style w:type="paragraph" w:styleId="Textoindependiente21">
    <w:name w:val="Texto independiente 21"/>
    <w:basedOn w:val="Normal"/>
    <w:next w:val="Textoindependiente21"/>
    <w:autoRedefine w:val="0"/>
    <w:hidden w:val="0"/>
    <w:qFormat w:val="0"/>
    <w:pPr>
      <w:suppressAutoHyphens w:val="0"/>
      <w:spacing w:line="1" w:lineRule="atLeast"/>
      <w:ind w:leftChars="-1" w:rightChars="0" w:firstLineChars="-1"/>
      <w:jc w:val="both"/>
      <w:textDirection w:val="btLr"/>
      <w:textAlignment w:val="top"/>
      <w:outlineLvl w:val="0"/>
    </w:pPr>
    <w:rPr>
      <w:bCs w:val="1"/>
      <w:w w:val="100"/>
      <w:position w:val="-1"/>
      <w:sz w:val="24"/>
      <w:effect w:val="none"/>
      <w:vertAlign w:val="baseline"/>
      <w:cs w:val="0"/>
      <w:em w:val="none"/>
      <w:lang w:bidi="ar-SA" w:eastAsia="ar-SA" w:val="es-ES"/>
    </w:rPr>
  </w:style>
  <w:style w:type="paragraph" w:styleId="Textonotapie">
    <w:name w:val="Texto nota pie"/>
    <w:basedOn w:val="Normal"/>
    <w:next w:val="Textonotapi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AR"/>
    </w:rPr>
  </w:style>
  <w:style w:type="paragraph" w:styleId="BodyText2">
    <w:name w:val="Body Text 2"/>
    <w:basedOn w:val="Normal"/>
    <w:next w:val="BodyText2"/>
    <w:autoRedefine w:val="0"/>
    <w:hidden w:val="0"/>
    <w:qFormat w:val="0"/>
    <w:pPr>
      <w:suppressAutoHyphens w:val="0"/>
      <w:overflowPunct w:val="0"/>
      <w:autoSpaceDE w:val="0"/>
      <w:spacing w:line="1" w:lineRule="atLeast"/>
      <w:ind w:leftChars="-1" w:rightChars="0" w:firstLineChars="-1"/>
      <w:jc w:val="both"/>
      <w:textDirection w:val="btLr"/>
      <w:textAlignment w:val="baseline"/>
      <w:outlineLvl w:val="0"/>
    </w:pPr>
    <w:rPr>
      <w:rFonts w:ascii="AvantGarde Md BT" w:hAnsi="AvantGarde Md BT"/>
      <w:w w:val="100"/>
      <w:position w:val="-1"/>
      <w:sz w:val="24"/>
      <w:effect w:val="none"/>
      <w:vertAlign w:val="baseline"/>
      <w:cs w:val="0"/>
      <w:em w:val="none"/>
      <w:lang w:bidi="ar-SA" w:eastAsia="ar-SA" w:val="es-ES"/>
    </w:rPr>
  </w:style>
  <w:style w:type="paragraph" w:styleId="Sangría2det.independiente1">
    <w:name w:val="Sangría 2 de t. independiente1"/>
    <w:basedOn w:val="Normal"/>
    <w:next w:val="Sangría2det.independiente1"/>
    <w:autoRedefine w:val="0"/>
    <w:hidden w:val="0"/>
    <w:qFormat w:val="0"/>
    <w:pPr>
      <w:tabs>
        <w:tab w:val="left" w:leader="none" w:pos="-720"/>
      </w:tabs>
      <w:suppressAutoHyphens w:val="0"/>
      <w:spacing w:line="360" w:lineRule="auto"/>
      <w:ind w:left="360" w:right="0" w:leftChars="-1" w:rightChars="0" w:firstLine="0" w:firstLineChars="-1"/>
      <w:jc w:val="both"/>
      <w:textDirection w:val="btLr"/>
      <w:textAlignment w:val="top"/>
      <w:outlineLvl w:val="0"/>
    </w:pPr>
    <w:rPr>
      <w:rFonts w:ascii="Comic Sans MS" w:hAnsi="Comic Sans MS"/>
      <w:spacing w:val="-3"/>
      <w:w w:val="100"/>
      <w:position w:val="-1"/>
      <w:sz w:val="24"/>
      <w:szCs w:val="24"/>
      <w:effect w:val="none"/>
      <w:vertAlign w:val="baseline"/>
      <w:cs w:val="0"/>
      <w:em w:val="none"/>
      <w:lang w:bidi="ar-SA" w:eastAsia="ar-SA" w:val="es-ES"/>
    </w:rPr>
  </w:style>
  <w:style w:type="paragraph" w:styleId="Textoindependiente31">
    <w:name w:val="Texto independiente 31"/>
    <w:basedOn w:val="Normal"/>
    <w:next w:val="Textoindependiente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ar-SA"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delatabla">
    <w:name w:val="Encabezado de la tabla"/>
    <w:basedOn w:val="Contenidodelatabla"/>
    <w:next w:val="Encabezadodelatab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es-ES"/>
    </w:rPr>
  </w:style>
  <w:style w:type="table" w:styleId="Tablaconcuadrícula">
    <w:name w:val="Tabla con cuadrícula"/>
    <w:basedOn w:val="Tablanormal"/>
    <w:next w:val="Tablaconcuadrícula"/>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Título4Car">
    <w:name w:val="Título 4 Car"/>
    <w:next w:val="Título4Car"/>
    <w:autoRedefine w:val="0"/>
    <w:hidden w:val="0"/>
    <w:qFormat w:val="0"/>
    <w:rPr>
      <w:b w:val="1"/>
      <w:bCs w:val="1"/>
      <w:color w:val="00000a"/>
      <w:w w:val="100"/>
      <w:position w:val="-1"/>
      <w:sz w:val="30"/>
      <w:szCs w:val="24"/>
      <w:effect w:val="none"/>
      <w:shd w:color="auto" w:fill="e6e6e6" w:val="clear"/>
      <w:vertAlign w:val="baseline"/>
      <w:cs w:val="0"/>
      <w:em w:val="none"/>
      <w:lang w:bidi="hi-IN" w:eastAsia="zh-CN" w:val="es-ES"/>
    </w:rPr>
  </w:style>
  <w:style w:type="paragraph" w:styleId="Sangría2det.independiente">
    <w:name w:val="Sangría 2 de t. independiente"/>
    <w:basedOn w:val="Normal"/>
    <w:next w:val="Sangría2det.independiente"/>
    <w:autoRedefine w:val="0"/>
    <w:hidden w:val="0"/>
    <w:qFormat w:val="0"/>
    <w:pPr>
      <w:suppressAutoHyphens w:val="0"/>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ar-SA" w:val="es-ES"/>
    </w:rPr>
  </w:style>
  <w:style w:type="character" w:styleId="Sangría2det.independienteCar">
    <w:name w:val="Sangría 2 de t. independiente Car"/>
    <w:next w:val="Sangría2det.independienteCar"/>
    <w:autoRedefine w:val="0"/>
    <w:hidden w:val="0"/>
    <w:qFormat w:val="0"/>
    <w:rPr>
      <w:w w:val="100"/>
      <w:position w:val="-1"/>
      <w:effect w:val="none"/>
      <w:vertAlign w:val="baseline"/>
      <w:cs w:val="0"/>
      <w:em w:val="none"/>
      <w:lang w:eastAsia="ar-SA"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eastAsia="ar-SA" w:val="es-ES"/>
    </w:rPr>
  </w:style>
  <w:style w:type="paragraph" w:styleId="Asuntodelcomentario">
    <w:name w:val="Asunto del comentario"/>
    <w:basedOn w:val="Textocomentario"/>
    <w:next w:val="Textocomentario"/>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ar-SA" w:val="es-ES"/>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eastAsia="ar-SA" w:val="es-ES"/>
    </w:rPr>
  </w:style>
  <w:style w:type="character" w:styleId="Título1Car">
    <w:name w:val="Título 1 Car"/>
    <w:next w:val="Título1Car"/>
    <w:autoRedefine w:val="0"/>
    <w:hidden w:val="0"/>
    <w:qFormat w:val="0"/>
    <w:rPr>
      <w:rFonts w:ascii="Aptos Display" w:cs="Times New Roman" w:eastAsia="Times New Roman" w:hAnsi="Aptos Display"/>
      <w:b w:val="1"/>
      <w:bCs w:val="1"/>
      <w:w w:val="100"/>
      <w:kern w:val="32"/>
      <w:position w:val="-1"/>
      <w:sz w:val="32"/>
      <w:szCs w:val="32"/>
      <w:effect w:val="none"/>
      <w:vertAlign w:val="baseline"/>
      <w:cs w:val="0"/>
      <w:em w:val="none"/>
      <w:lang w:eastAsia="ar-SA"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FVKBlYCqYBf7Y9/AyXGtxJdOA==">CgMxLjAyCGguZ2pkZ3hzOAByITFxMElndlM3a3BCZU9mdkc5Rk1sR2hSOGNNd0UyeWY4cg==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2024-05-13T17:51:00Z</dcterms:created>
  <dc:creator>Sergio Merino</dc:creator>
</cp:coreProperties>
</file>