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80488" w14:textId="77777777" w:rsidR="00CF5B2F" w:rsidRDefault="00CF5B2F">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pPr w:leftFromText="141" w:rightFromText="141" w:horzAnchor="margin"/>
        <w:tblW w:w="9214" w:type="dxa"/>
        <w:tblInd w:w="0" w:type="dxa"/>
        <w:tblLayout w:type="fixed"/>
        <w:tblLook w:val="0000" w:firstRow="0" w:lastRow="0" w:firstColumn="0" w:lastColumn="0" w:noHBand="0" w:noVBand="0"/>
      </w:tblPr>
      <w:tblGrid>
        <w:gridCol w:w="9214"/>
      </w:tblGrid>
      <w:tr w:rsidR="00CF5B2F" w14:paraId="0D236E82" w14:textId="77777777">
        <w:tc>
          <w:tcPr>
            <w:tcW w:w="9214" w:type="dxa"/>
          </w:tcPr>
          <w:p w14:paraId="0B128464" w14:textId="77777777" w:rsidR="00CF5B2F" w:rsidRDefault="00CF5B2F">
            <w:pPr>
              <w:ind w:left="0" w:hanging="2"/>
              <w:jc w:val="center"/>
              <w:textDirection w:val="lrTb"/>
              <w:rPr>
                <w:rFonts w:ascii="Arial" w:eastAsia="Arial" w:hAnsi="Arial" w:cs="Arial"/>
                <w:sz w:val="22"/>
                <w:szCs w:val="22"/>
              </w:rPr>
            </w:pPr>
          </w:p>
          <w:p w14:paraId="606D9F88" w14:textId="77777777" w:rsidR="00CF5B2F" w:rsidRDefault="00CF5B2F">
            <w:pPr>
              <w:ind w:left="0" w:hanging="2"/>
              <w:textDirection w:val="lrTb"/>
              <w:rPr>
                <w:rFonts w:ascii="Arial" w:eastAsia="Arial" w:hAnsi="Arial" w:cs="Arial"/>
                <w:sz w:val="22"/>
                <w:szCs w:val="22"/>
              </w:rPr>
            </w:pPr>
          </w:p>
          <w:p w14:paraId="688E0EE1" w14:textId="77777777" w:rsidR="00CF5B2F" w:rsidRDefault="00000000">
            <w:pPr>
              <w:ind w:left="0" w:hanging="2"/>
              <w:jc w:val="center"/>
              <w:textDirection w:val="lrTb"/>
              <w:rPr>
                <w:rFonts w:ascii="Arial" w:eastAsia="Arial" w:hAnsi="Arial" w:cs="Arial"/>
                <w:sz w:val="22"/>
                <w:szCs w:val="22"/>
              </w:rPr>
            </w:pPr>
            <w:r>
              <w:rPr>
                <w:rFonts w:ascii="Arial" w:eastAsia="Arial" w:hAnsi="Arial" w:cs="Arial"/>
                <w:noProof/>
                <w:sz w:val="22"/>
                <w:szCs w:val="22"/>
              </w:rPr>
              <w:drawing>
                <wp:inline distT="0" distB="0" distL="114300" distR="114300" wp14:anchorId="24A63013" wp14:editId="168F1389">
                  <wp:extent cx="3495675" cy="130492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5675" cy="1304925"/>
                          </a:xfrm>
                          <a:prstGeom prst="rect">
                            <a:avLst/>
                          </a:prstGeom>
                          <a:ln/>
                        </pic:spPr>
                      </pic:pic>
                    </a:graphicData>
                  </a:graphic>
                </wp:inline>
              </w:drawing>
            </w:r>
          </w:p>
          <w:p w14:paraId="2CDDABDA" w14:textId="77777777" w:rsidR="00CF5B2F" w:rsidRDefault="00CF5B2F">
            <w:pPr>
              <w:ind w:left="0" w:hanging="2"/>
              <w:textDirection w:val="lrTb"/>
              <w:rPr>
                <w:rFonts w:ascii="Arial" w:eastAsia="Arial" w:hAnsi="Arial" w:cs="Arial"/>
                <w:sz w:val="22"/>
                <w:szCs w:val="22"/>
              </w:rPr>
            </w:pPr>
          </w:p>
          <w:p w14:paraId="4F168311" w14:textId="77777777" w:rsidR="00CF5B2F" w:rsidRDefault="00CF5B2F">
            <w:pPr>
              <w:ind w:left="0" w:hanging="2"/>
              <w:textDirection w:val="lrTb"/>
              <w:rPr>
                <w:rFonts w:ascii="Arial" w:eastAsia="Arial" w:hAnsi="Arial" w:cs="Arial"/>
                <w:sz w:val="22"/>
                <w:szCs w:val="22"/>
              </w:rPr>
            </w:pPr>
          </w:p>
          <w:p w14:paraId="2DAEF7D9" w14:textId="77777777" w:rsidR="00CF5B2F" w:rsidRDefault="00000000">
            <w:pPr>
              <w:ind w:left="0" w:hanging="2"/>
              <w:jc w:val="center"/>
              <w:textDirection w:val="lrTb"/>
              <w:rPr>
                <w:rFonts w:ascii="Arial" w:eastAsia="Arial" w:hAnsi="Arial" w:cs="Arial"/>
                <w:sz w:val="22"/>
                <w:szCs w:val="22"/>
              </w:rPr>
            </w:pPr>
            <w:r>
              <w:rPr>
                <w:rFonts w:ascii="Arial" w:eastAsia="Arial" w:hAnsi="Arial" w:cs="Arial"/>
                <w:b/>
                <w:sz w:val="22"/>
                <w:szCs w:val="22"/>
              </w:rPr>
              <w:t>Dirección General de Educación Superior</w:t>
            </w:r>
          </w:p>
          <w:p w14:paraId="2C66FD0D" w14:textId="77777777" w:rsidR="00CF5B2F" w:rsidRDefault="00000000">
            <w:pPr>
              <w:ind w:left="0" w:hanging="2"/>
              <w:jc w:val="center"/>
              <w:textDirection w:val="lrTb"/>
              <w:rPr>
                <w:rFonts w:ascii="Arial" w:eastAsia="Arial" w:hAnsi="Arial" w:cs="Arial"/>
                <w:sz w:val="22"/>
                <w:szCs w:val="22"/>
              </w:rPr>
            </w:pPr>
            <w:r>
              <w:rPr>
                <w:rFonts w:ascii="Arial" w:eastAsia="Arial" w:hAnsi="Arial" w:cs="Arial"/>
                <w:b/>
                <w:sz w:val="22"/>
                <w:szCs w:val="22"/>
              </w:rPr>
              <w:t>Instituto Superior de Formación Docente N° 803</w:t>
            </w:r>
          </w:p>
          <w:p w14:paraId="06069E90" w14:textId="77777777" w:rsidR="00CF5B2F" w:rsidRDefault="00000000">
            <w:pPr>
              <w:ind w:left="0" w:hanging="2"/>
              <w:jc w:val="center"/>
              <w:textDirection w:val="lrTb"/>
              <w:rPr>
                <w:rFonts w:ascii="Arial" w:eastAsia="Arial" w:hAnsi="Arial" w:cs="Arial"/>
                <w:sz w:val="22"/>
                <w:szCs w:val="22"/>
              </w:rPr>
            </w:pPr>
            <w:r>
              <w:rPr>
                <w:rFonts w:ascii="Arial" w:eastAsia="Arial" w:hAnsi="Arial" w:cs="Arial"/>
                <w:b/>
                <w:sz w:val="22"/>
                <w:szCs w:val="22"/>
              </w:rPr>
              <w:t>Puerto Madryn</w:t>
            </w:r>
          </w:p>
          <w:p w14:paraId="46FDAEB0" w14:textId="77777777" w:rsidR="00CF5B2F" w:rsidRDefault="00CF5B2F">
            <w:pPr>
              <w:ind w:left="0" w:hanging="2"/>
              <w:textDirection w:val="lrTb"/>
              <w:rPr>
                <w:rFonts w:ascii="Arial" w:eastAsia="Arial" w:hAnsi="Arial" w:cs="Arial"/>
                <w:sz w:val="22"/>
                <w:szCs w:val="22"/>
              </w:rPr>
            </w:pPr>
          </w:p>
        </w:tc>
      </w:tr>
      <w:tr w:rsidR="00CF5B2F" w14:paraId="45F932FB" w14:textId="77777777">
        <w:tc>
          <w:tcPr>
            <w:tcW w:w="9214" w:type="dxa"/>
          </w:tcPr>
          <w:p w14:paraId="2353192A" w14:textId="74840BCA" w:rsidR="00CF5B2F" w:rsidRDefault="00000000">
            <w:pPr>
              <w:shd w:val="clear" w:color="auto" w:fill="000000"/>
              <w:ind w:left="0" w:hanging="2"/>
              <w:jc w:val="center"/>
              <w:textDirection w:val="lrTb"/>
              <w:rPr>
                <w:rFonts w:ascii="Arial" w:eastAsia="Arial" w:hAnsi="Arial" w:cs="Arial"/>
                <w:sz w:val="22"/>
                <w:szCs w:val="22"/>
              </w:rPr>
            </w:pPr>
            <w:r>
              <w:rPr>
                <w:rFonts w:ascii="Arial" w:eastAsia="Arial" w:hAnsi="Arial" w:cs="Arial"/>
                <w:b/>
                <w:sz w:val="22"/>
                <w:szCs w:val="22"/>
              </w:rPr>
              <w:t>P R O G R A M A   202</w:t>
            </w:r>
            <w:r w:rsidR="005E2C31">
              <w:rPr>
                <w:rFonts w:ascii="Arial" w:eastAsia="Arial" w:hAnsi="Arial" w:cs="Arial"/>
                <w:b/>
                <w:sz w:val="22"/>
                <w:szCs w:val="22"/>
              </w:rPr>
              <w:t>5</w:t>
            </w:r>
          </w:p>
        </w:tc>
      </w:tr>
      <w:tr w:rsidR="00CF5B2F" w14:paraId="6478C8A7" w14:textId="77777777">
        <w:tc>
          <w:tcPr>
            <w:tcW w:w="9214" w:type="dxa"/>
          </w:tcPr>
          <w:p w14:paraId="04258F0B" w14:textId="77777777" w:rsidR="00CF5B2F" w:rsidRDefault="00CF5B2F">
            <w:pPr>
              <w:ind w:left="0" w:hanging="2"/>
              <w:textDirection w:val="lrTb"/>
              <w:rPr>
                <w:rFonts w:ascii="Arial" w:eastAsia="Arial" w:hAnsi="Arial" w:cs="Arial"/>
              </w:rPr>
            </w:pPr>
          </w:p>
          <w:p w14:paraId="2FED53E4" w14:textId="77777777" w:rsidR="00CF5B2F" w:rsidRDefault="00CF5B2F">
            <w:pPr>
              <w:ind w:left="0" w:hanging="2"/>
              <w:textDirection w:val="lrTb"/>
              <w:rPr>
                <w:rFonts w:ascii="Arial" w:eastAsia="Arial" w:hAnsi="Arial" w:cs="Arial"/>
              </w:rPr>
            </w:pPr>
          </w:p>
          <w:p w14:paraId="3EB822D3" w14:textId="77777777" w:rsidR="00CF5B2F" w:rsidRDefault="00000000">
            <w:pPr>
              <w:ind w:left="0" w:hanging="2"/>
              <w:textDirection w:val="lrTb"/>
              <w:rPr>
                <w:rFonts w:ascii="Arial" w:eastAsia="Arial" w:hAnsi="Arial" w:cs="Arial"/>
              </w:rPr>
            </w:pPr>
            <w:r>
              <w:rPr>
                <w:rFonts w:ascii="Arial" w:eastAsia="Arial" w:hAnsi="Arial" w:cs="Arial"/>
              </w:rPr>
              <w:t>Carrera:</w:t>
            </w:r>
          </w:p>
          <w:tbl>
            <w:tblPr>
              <w:tblStyle w:val="a0"/>
              <w:tblW w:w="91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9"/>
            </w:tblGrid>
            <w:tr w:rsidR="00CF5B2F" w14:paraId="23CC460A" w14:textId="77777777">
              <w:tc>
                <w:tcPr>
                  <w:tcW w:w="9199" w:type="dxa"/>
                </w:tcPr>
                <w:p w14:paraId="391CE00E" w14:textId="77777777" w:rsidR="00CF5B2F" w:rsidRDefault="00000000">
                  <w:pPr>
                    <w:framePr w:hSpace="141" w:wrap="around" w:hAnchor="margin"/>
                    <w:ind w:left="0" w:hanging="2"/>
                    <w:rPr>
                      <w:rFonts w:ascii="Arial" w:eastAsia="Arial" w:hAnsi="Arial" w:cs="Arial"/>
                    </w:rPr>
                  </w:pPr>
                  <w:r>
                    <w:rPr>
                      <w:rFonts w:ascii="Arial" w:eastAsia="Arial" w:hAnsi="Arial" w:cs="Arial"/>
                      <w:b/>
                    </w:rPr>
                    <w:t>Profesorado de Educación Secundaria en Historia - RES N°457/19</w:t>
                  </w:r>
                </w:p>
              </w:tc>
            </w:tr>
          </w:tbl>
          <w:p w14:paraId="6EA7B603" w14:textId="77777777" w:rsidR="00CF5B2F" w:rsidRDefault="00CF5B2F">
            <w:pPr>
              <w:ind w:left="0" w:hanging="2"/>
              <w:textDirection w:val="lrTb"/>
              <w:rPr>
                <w:rFonts w:ascii="Arial" w:eastAsia="Arial" w:hAnsi="Arial" w:cs="Arial"/>
              </w:rPr>
            </w:pPr>
          </w:p>
          <w:p w14:paraId="32FE7CC3" w14:textId="77777777" w:rsidR="00CF5B2F" w:rsidRDefault="00000000">
            <w:pPr>
              <w:ind w:left="0" w:hanging="2"/>
              <w:textDirection w:val="lrTb"/>
              <w:rPr>
                <w:rFonts w:ascii="Arial" w:eastAsia="Arial" w:hAnsi="Arial" w:cs="Arial"/>
              </w:rPr>
            </w:pPr>
            <w:r>
              <w:rPr>
                <w:rFonts w:ascii="Arial" w:eastAsia="Arial" w:hAnsi="Arial" w:cs="Arial"/>
              </w:rPr>
              <w:t>Espacio curricular                                                         Equipo Docente</w:t>
            </w:r>
          </w:p>
          <w:tbl>
            <w:tblPr>
              <w:tblStyle w:val="a1"/>
              <w:tblW w:w="91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9"/>
              <w:gridCol w:w="4600"/>
            </w:tblGrid>
            <w:tr w:rsidR="00CF5B2F" w14:paraId="5AE2C671" w14:textId="77777777">
              <w:tc>
                <w:tcPr>
                  <w:tcW w:w="4599" w:type="dxa"/>
                  <w:vAlign w:val="center"/>
                </w:tcPr>
                <w:p w14:paraId="68051F6D" w14:textId="77777777" w:rsidR="00CF5B2F" w:rsidRDefault="00CF5B2F">
                  <w:pPr>
                    <w:framePr w:hSpace="141" w:wrap="around" w:hAnchor="margin"/>
                    <w:ind w:left="0" w:hanging="2"/>
                    <w:rPr>
                      <w:rFonts w:ascii="Arial" w:eastAsia="Arial" w:hAnsi="Arial" w:cs="Arial"/>
                    </w:rPr>
                  </w:pPr>
                </w:p>
                <w:p w14:paraId="27938997" w14:textId="77777777" w:rsidR="00CF5B2F" w:rsidRDefault="00000000">
                  <w:pPr>
                    <w:framePr w:hSpace="141" w:wrap="around" w:hAnchor="margin"/>
                    <w:ind w:left="0" w:hanging="2"/>
                    <w:rPr>
                      <w:rFonts w:ascii="Arial" w:eastAsia="Arial" w:hAnsi="Arial" w:cs="Arial"/>
                    </w:rPr>
                  </w:pPr>
                  <w:r>
                    <w:rPr>
                      <w:rFonts w:ascii="Arial" w:eastAsia="Arial" w:hAnsi="Arial" w:cs="Arial"/>
                    </w:rPr>
                    <w:t>Psicología Educacional</w:t>
                  </w:r>
                </w:p>
                <w:p w14:paraId="62123C65" w14:textId="77777777" w:rsidR="00CF5B2F" w:rsidRDefault="00CF5B2F">
                  <w:pPr>
                    <w:framePr w:hSpace="141" w:wrap="around" w:hAnchor="margin"/>
                    <w:ind w:left="0" w:hanging="2"/>
                    <w:rPr>
                      <w:rFonts w:ascii="Arial" w:eastAsia="Arial" w:hAnsi="Arial" w:cs="Arial"/>
                    </w:rPr>
                  </w:pPr>
                </w:p>
              </w:tc>
              <w:tc>
                <w:tcPr>
                  <w:tcW w:w="4600" w:type="dxa"/>
                  <w:vAlign w:val="center"/>
                </w:tcPr>
                <w:p w14:paraId="70A3E706" w14:textId="77777777" w:rsidR="00CF5B2F" w:rsidRDefault="00000000">
                  <w:pPr>
                    <w:framePr w:hSpace="141" w:wrap="around" w:hAnchor="margin"/>
                    <w:ind w:left="0" w:hanging="2"/>
                    <w:rPr>
                      <w:rFonts w:ascii="Arial" w:eastAsia="Arial" w:hAnsi="Arial" w:cs="Arial"/>
                    </w:rPr>
                  </w:pPr>
                  <w:r>
                    <w:rPr>
                      <w:rFonts w:ascii="Arial" w:eastAsia="Arial" w:hAnsi="Arial" w:cs="Arial"/>
                    </w:rPr>
                    <w:t>Prof. y Lic. Castelnuovo Renata Sabrina</w:t>
                  </w:r>
                </w:p>
              </w:tc>
            </w:tr>
          </w:tbl>
          <w:p w14:paraId="48E3C13B" w14:textId="77777777" w:rsidR="00CF5B2F" w:rsidRDefault="00CF5B2F">
            <w:pPr>
              <w:ind w:left="0" w:hanging="2"/>
              <w:textDirection w:val="lrTb"/>
              <w:rPr>
                <w:rFonts w:ascii="Arial" w:eastAsia="Arial" w:hAnsi="Arial" w:cs="Arial"/>
              </w:rPr>
            </w:pPr>
          </w:p>
        </w:tc>
      </w:tr>
    </w:tbl>
    <w:p w14:paraId="08B68ECE" w14:textId="77777777" w:rsidR="00CF5B2F" w:rsidRDefault="00000000">
      <w:pPr>
        <w:pBdr>
          <w:top w:val="single" w:sz="4" w:space="1" w:color="000000"/>
          <w:left w:val="single" w:sz="4" w:space="4" w:color="000000"/>
          <w:bottom w:val="single" w:sz="4" w:space="1" w:color="000000"/>
          <w:right w:val="single" w:sz="4" w:space="4" w:color="000000"/>
        </w:pBdr>
        <w:shd w:val="clear" w:color="auto" w:fill="0D0D0D"/>
        <w:ind w:left="0" w:hanging="2"/>
        <w:jc w:val="both"/>
        <w:rPr>
          <w:rFonts w:ascii="Arial" w:eastAsia="Arial" w:hAnsi="Arial" w:cs="Arial"/>
          <w:color w:val="FFFFFF"/>
        </w:rPr>
      </w:pPr>
      <w:r>
        <w:rPr>
          <w:rFonts w:ascii="Arial" w:eastAsia="Arial" w:hAnsi="Arial" w:cs="Arial"/>
          <w:b/>
          <w:color w:val="FFFFFF"/>
        </w:rPr>
        <w:t xml:space="preserve">1. FUNDAMENTACIÓN </w:t>
      </w:r>
    </w:p>
    <w:p w14:paraId="5E912A09" w14:textId="77777777" w:rsidR="00CF5B2F" w:rsidRDefault="00CF5B2F">
      <w:pPr>
        <w:ind w:left="0" w:hanging="2"/>
        <w:jc w:val="both"/>
        <w:rPr>
          <w:rFonts w:ascii="Arial" w:eastAsia="Arial" w:hAnsi="Arial" w:cs="Arial"/>
        </w:rPr>
      </w:pPr>
    </w:p>
    <w:p w14:paraId="020673C4" w14:textId="77777777" w:rsidR="00CF5B2F" w:rsidRDefault="00000000">
      <w:pPr>
        <w:spacing w:before="50"/>
        <w:ind w:left="0" w:hanging="2"/>
        <w:jc w:val="both"/>
        <w:rPr>
          <w:rFonts w:ascii="Arial" w:eastAsia="Arial" w:hAnsi="Arial" w:cs="Arial"/>
        </w:rPr>
      </w:pPr>
      <w:r>
        <w:rPr>
          <w:rFonts w:ascii="Arial" w:eastAsia="Arial" w:hAnsi="Arial" w:cs="Arial"/>
        </w:rPr>
        <w:t xml:space="preserve">El propósito de esta asignatura es que los futuros/as docentes adquieran herramientas cognitivas necesarias para posicionarse frente a los actores partícipes de la educación, como sujetos que transitan procesos de desarrollo subjetivo y que en el transitar la escuela, forman parte de la construcción del dispositivo escolar. </w:t>
      </w:r>
    </w:p>
    <w:p w14:paraId="4C93C72C" w14:textId="77777777" w:rsidR="00CF5B2F" w:rsidRDefault="00000000">
      <w:pPr>
        <w:spacing w:before="50"/>
        <w:ind w:left="0" w:hanging="2"/>
        <w:jc w:val="both"/>
        <w:rPr>
          <w:rFonts w:ascii="Arial" w:eastAsia="Arial" w:hAnsi="Arial" w:cs="Arial"/>
        </w:rPr>
      </w:pPr>
      <w:r>
        <w:rPr>
          <w:rFonts w:ascii="Arial" w:eastAsia="Arial" w:hAnsi="Arial" w:cs="Arial"/>
        </w:rPr>
        <w:t xml:space="preserve">Por ello, la importancia de abordar diversos aportes de la psicología, que permitan reflexionar y producir conocimiento sobre los modelos psicológicos del aprendizaje, desarrollo y socialización. Los mismos, posibilitan la construcción de marcos conceptuales que permiten complejizar las relaciones entre el sujeto y el aprendizaje escolar, el conocimiento cotidiano y el escolar. Así mismo, el abordaje de los distintos enfoques psicológicos, desde una mirada crítica, aporta a la intervención en los diferentes escenarios educativos, los diferentes modelos psicológicos del aprendizaje con sus fortalezas y limitaciones. Analizar el aprendizaje, con especial énfasis en el aprendizaje escolar, aporta a la comprensión de su dinámica, riqueza y dimensiones, es un soporte fundamental para apoyar los procesos de mediación del docente en el diseño y la coordinación de la enseñanza. </w:t>
      </w:r>
      <w:r>
        <w:rPr>
          <w:rFonts w:ascii="Arial" w:eastAsia="Arial" w:hAnsi="Arial" w:cs="Arial"/>
          <w:b/>
          <w:color w:val="FFFFFF"/>
        </w:rPr>
        <w:t xml:space="preserve">2. </w:t>
      </w:r>
    </w:p>
    <w:p w14:paraId="5C4CB9D4" w14:textId="77777777" w:rsidR="00CF5B2F" w:rsidRDefault="00000000">
      <w:pPr>
        <w:spacing w:after="240"/>
        <w:ind w:left="0" w:hanging="2"/>
        <w:jc w:val="both"/>
        <w:rPr>
          <w:rFonts w:ascii="Arial" w:eastAsia="Arial" w:hAnsi="Arial" w:cs="Arial"/>
          <w:u w:val="single"/>
        </w:rPr>
      </w:pPr>
      <w:r>
        <w:rPr>
          <w:rFonts w:ascii="Arial" w:eastAsia="Arial" w:hAnsi="Arial" w:cs="Arial"/>
          <w:b/>
          <w:u w:val="single"/>
        </w:rPr>
        <w:t>OBJETIVOS</w:t>
      </w:r>
    </w:p>
    <w:p w14:paraId="0681D881" w14:textId="77777777" w:rsidR="00CF5B2F" w:rsidRDefault="00000000">
      <w:pPr>
        <w:spacing w:after="240"/>
        <w:ind w:left="0" w:hanging="2"/>
        <w:jc w:val="both"/>
        <w:rPr>
          <w:rFonts w:ascii="Arial" w:eastAsia="Arial" w:hAnsi="Arial" w:cs="Arial"/>
        </w:rPr>
      </w:pPr>
      <w:r>
        <w:rPr>
          <w:rFonts w:ascii="Arial" w:eastAsia="Arial" w:hAnsi="Arial" w:cs="Arial"/>
        </w:rPr>
        <w:t>Macro-objetivos</w:t>
      </w:r>
    </w:p>
    <w:p w14:paraId="3E5B8236" w14:textId="77777777" w:rsidR="00CF5B2F" w:rsidRDefault="00000000">
      <w:pPr>
        <w:spacing w:after="240"/>
        <w:ind w:left="0" w:hanging="2"/>
        <w:rPr>
          <w:rFonts w:ascii="Arial" w:eastAsia="Arial" w:hAnsi="Arial" w:cs="Arial"/>
        </w:rPr>
      </w:pPr>
      <w:r>
        <w:rPr>
          <w:rFonts w:ascii="Arial" w:eastAsia="Arial" w:hAnsi="Arial" w:cs="Arial"/>
        </w:rPr>
        <w:t>● Comprender los estudios y conceptos básicos de la psicología como ciencia.</w:t>
      </w:r>
    </w:p>
    <w:p w14:paraId="579F380B" w14:textId="77777777" w:rsidR="00CF5B2F" w:rsidRDefault="00000000">
      <w:pPr>
        <w:spacing w:after="240"/>
        <w:ind w:left="0" w:hanging="2"/>
        <w:rPr>
          <w:rFonts w:ascii="Arial" w:eastAsia="Arial" w:hAnsi="Arial" w:cs="Arial"/>
        </w:rPr>
      </w:pPr>
      <w:r>
        <w:rPr>
          <w:rFonts w:ascii="Arial" w:eastAsia="Arial" w:hAnsi="Arial" w:cs="Arial"/>
        </w:rPr>
        <w:t>● Abordar las diferentes teorías sobre el desarrollo cognitivo y social con énfasis en el</w:t>
      </w:r>
    </w:p>
    <w:p w14:paraId="1235E374" w14:textId="77777777" w:rsidR="00CF5B2F" w:rsidRDefault="00000000">
      <w:pPr>
        <w:spacing w:after="240"/>
        <w:ind w:left="0" w:hanging="2"/>
        <w:rPr>
          <w:rFonts w:ascii="Arial" w:eastAsia="Arial" w:hAnsi="Arial" w:cs="Arial"/>
        </w:rPr>
      </w:pPr>
      <w:r>
        <w:rPr>
          <w:rFonts w:ascii="Arial" w:eastAsia="Arial" w:hAnsi="Arial" w:cs="Arial"/>
        </w:rPr>
        <w:t>proceso de aprendizaje.</w:t>
      </w:r>
    </w:p>
    <w:p w14:paraId="38638A5F" w14:textId="77777777" w:rsidR="00CF5B2F" w:rsidRDefault="00000000">
      <w:pPr>
        <w:spacing w:after="240"/>
        <w:ind w:left="0" w:hanging="2"/>
        <w:rPr>
          <w:rFonts w:ascii="Arial" w:eastAsia="Arial" w:hAnsi="Arial" w:cs="Arial"/>
        </w:rPr>
      </w:pPr>
      <w:r>
        <w:rPr>
          <w:rFonts w:ascii="Arial" w:eastAsia="Arial" w:hAnsi="Arial" w:cs="Arial"/>
        </w:rPr>
        <w:t>● Incentivar un marco general de carácter reflexivo y crítico acerca de los alcances y</w:t>
      </w:r>
    </w:p>
    <w:p w14:paraId="5DC01EF3" w14:textId="77777777" w:rsidR="00CF5B2F" w:rsidRDefault="00000000">
      <w:pPr>
        <w:spacing w:after="240"/>
        <w:ind w:left="0" w:hanging="2"/>
        <w:rPr>
          <w:rFonts w:ascii="Arial" w:eastAsia="Arial" w:hAnsi="Arial" w:cs="Arial"/>
        </w:rPr>
      </w:pPr>
      <w:r>
        <w:rPr>
          <w:rFonts w:ascii="Arial" w:eastAsia="Arial" w:hAnsi="Arial" w:cs="Arial"/>
        </w:rPr>
        <w:t>profundidad de los conceptos dados.</w:t>
      </w:r>
    </w:p>
    <w:p w14:paraId="2E703236" w14:textId="77777777" w:rsidR="00CF5B2F" w:rsidRDefault="00000000">
      <w:pPr>
        <w:spacing w:after="240"/>
        <w:ind w:left="0" w:hanging="2"/>
        <w:rPr>
          <w:rFonts w:ascii="Arial" w:eastAsia="Arial" w:hAnsi="Arial" w:cs="Arial"/>
        </w:rPr>
      </w:pPr>
      <w:r>
        <w:rPr>
          <w:rFonts w:ascii="Arial" w:eastAsia="Arial" w:hAnsi="Arial" w:cs="Arial"/>
        </w:rPr>
        <w:lastRenderedPageBreak/>
        <w:t>● Abordar y reflexionar respecto de la concepción del niño en contexto educacional.</w:t>
      </w:r>
    </w:p>
    <w:p w14:paraId="2143049B" w14:textId="77777777" w:rsidR="00CF5B2F" w:rsidRDefault="00000000">
      <w:pPr>
        <w:spacing w:after="240"/>
        <w:ind w:left="0" w:hanging="2"/>
        <w:rPr>
          <w:rFonts w:ascii="Arial" w:eastAsia="Arial" w:hAnsi="Arial" w:cs="Arial"/>
        </w:rPr>
      </w:pPr>
      <w:r>
        <w:rPr>
          <w:rFonts w:ascii="Arial" w:eastAsia="Arial" w:hAnsi="Arial" w:cs="Arial"/>
        </w:rPr>
        <w:t>Micro-objetivos</w:t>
      </w:r>
    </w:p>
    <w:p w14:paraId="2314709F" w14:textId="77777777" w:rsidR="00CF5B2F" w:rsidRDefault="00000000">
      <w:pPr>
        <w:spacing w:after="240"/>
        <w:ind w:left="0" w:hanging="2"/>
        <w:rPr>
          <w:rFonts w:ascii="Arial" w:eastAsia="Arial" w:hAnsi="Arial" w:cs="Arial"/>
        </w:rPr>
      </w:pPr>
      <w:r>
        <w:rPr>
          <w:rFonts w:ascii="Arial" w:eastAsia="Arial" w:hAnsi="Arial" w:cs="Arial"/>
        </w:rPr>
        <w:t>● Desarrollar marcos de reflexión acorde con situaciones susceptibles de ser</w:t>
      </w:r>
    </w:p>
    <w:p w14:paraId="62315415" w14:textId="77777777" w:rsidR="00CF5B2F" w:rsidRDefault="00000000">
      <w:pPr>
        <w:spacing w:after="240"/>
        <w:ind w:left="0" w:hanging="2"/>
        <w:rPr>
          <w:rFonts w:ascii="Arial" w:eastAsia="Arial" w:hAnsi="Arial" w:cs="Arial"/>
        </w:rPr>
      </w:pPr>
      <w:r>
        <w:rPr>
          <w:rFonts w:ascii="Arial" w:eastAsia="Arial" w:hAnsi="Arial" w:cs="Arial"/>
        </w:rPr>
        <w:t>trasladadas al ámbito de la actualidad local.</w:t>
      </w:r>
    </w:p>
    <w:p w14:paraId="19739F0B" w14:textId="77777777" w:rsidR="00CF5B2F" w:rsidRDefault="00000000">
      <w:pPr>
        <w:spacing w:after="240"/>
        <w:ind w:left="0" w:hanging="2"/>
        <w:rPr>
          <w:rFonts w:ascii="Arial" w:eastAsia="Arial" w:hAnsi="Arial" w:cs="Arial"/>
        </w:rPr>
      </w:pPr>
      <w:r>
        <w:rPr>
          <w:rFonts w:ascii="Arial" w:eastAsia="Arial" w:hAnsi="Arial" w:cs="Arial"/>
        </w:rPr>
        <w:t>● Proponer los conceptos en forma abierta a la discusión, prestando al debate</w:t>
      </w:r>
    </w:p>
    <w:p w14:paraId="03A934AD" w14:textId="77777777" w:rsidR="00CF5B2F" w:rsidRDefault="00000000">
      <w:pPr>
        <w:spacing w:after="240"/>
        <w:ind w:left="0" w:hanging="2"/>
        <w:jc w:val="both"/>
        <w:rPr>
          <w:rFonts w:ascii="Arial" w:eastAsia="Arial" w:hAnsi="Arial" w:cs="Arial"/>
        </w:rPr>
      </w:pPr>
      <w:r>
        <w:rPr>
          <w:rFonts w:ascii="Arial" w:eastAsia="Arial" w:hAnsi="Arial" w:cs="Arial"/>
        </w:rPr>
        <w:t>constructivo en el aula.</w:t>
      </w:r>
    </w:p>
    <w:p w14:paraId="0D5695DC" w14:textId="77777777" w:rsidR="00CF5B2F" w:rsidRDefault="00000000">
      <w:pPr>
        <w:pBdr>
          <w:top w:val="single" w:sz="4" w:space="1" w:color="000000"/>
          <w:left w:val="single" w:sz="4" w:space="4" w:color="000000"/>
          <w:bottom w:val="single" w:sz="4" w:space="1" w:color="000000"/>
          <w:right w:val="single" w:sz="4" w:space="4" w:color="000000"/>
        </w:pBdr>
        <w:shd w:val="clear" w:color="auto" w:fill="0D0D0D"/>
        <w:spacing w:after="240"/>
        <w:ind w:left="0" w:hanging="2"/>
        <w:jc w:val="both"/>
        <w:rPr>
          <w:rFonts w:ascii="Arial" w:eastAsia="Arial" w:hAnsi="Arial" w:cs="Arial"/>
          <w:color w:val="FFFFFF"/>
        </w:rPr>
      </w:pPr>
      <w:bookmarkStart w:id="0" w:name="_heading=h.gjdgxs" w:colFirst="0" w:colLast="0"/>
      <w:bookmarkEnd w:id="0"/>
      <w:r>
        <w:rPr>
          <w:rFonts w:ascii="Arial" w:eastAsia="Arial" w:hAnsi="Arial" w:cs="Arial"/>
          <w:b/>
          <w:color w:val="FFFFFF"/>
        </w:rPr>
        <w:t xml:space="preserve">3. CONTENIDOS – BIBLIOGRAFÍA </w:t>
      </w:r>
    </w:p>
    <w:p w14:paraId="4DBFD790" w14:textId="77777777" w:rsidR="00CF5B2F" w:rsidRDefault="00000000">
      <w:pPr>
        <w:spacing w:after="240"/>
        <w:ind w:left="0" w:hanging="2"/>
        <w:jc w:val="both"/>
        <w:rPr>
          <w:rFonts w:ascii="Arial" w:eastAsia="Arial" w:hAnsi="Arial" w:cs="Arial"/>
        </w:rPr>
      </w:pPr>
      <w:r>
        <w:rPr>
          <w:rFonts w:ascii="Arial" w:eastAsia="Arial" w:hAnsi="Arial" w:cs="Arial"/>
          <w:b/>
          <w:u w:val="single"/>
        </w:rPr>
        <w:t>EJE 1. Introducción a la Psicología educacional, y aportes de diferentes corrientes teóricas.</w:t>
      </w:r>
      <w:r>
        <w:rPr>
          <w:rFonts w:ascii="Arial" w:eastAsia="Arial" w:hAnsi="Arial" w:cs="Arial"/>
        </w:rPr>
        <w:t xml:space="preserve"> Psicología y Educación: definición, objetivos y áreas. Teoría de la conducta: Conductismo de Watson y definición actual de conducta. Teoría Psicoanalítica: Constitución del Sujeto Psíquico, herencia-construcción. Sigmund Freud: aparato psíquico, identificación, desarrollo psicosexual. Teoría Psicogenética: Jean Piaget procesos de asimilación y acomodación, equilibración, estadios del desarrollo cognitivo. Teoría Sociohistórica: Lev Vigotsky, procesos psicológicos elementales y superiores, Interiorización, Instrumentos mediadores, Zona de Desarrollo próximo; Jerome Bruner, Andamiaje. Teorías cognitivas: A. Beck, procesamiento de la información; H. Gardner, inteligencias múltiples, D. Ausubel Aprendizaje Significativo. Prácticas educativas y procesos de escolarización. Relación Desarrollo, Aprendizaje y Enseñanza. </w:t>
      </w:r>
    </w:p>
    <w:p w14:paraId="53BD8375" w14:textId="77777777" w:rsidR="00CF5B2F" w:rsidRDefault="00000000">
      <w:pPr>
        <w:spacing w:after="240"/>
        <w:ind w:left="0" w:hanging="2"/>
        <w:jc w:val="both"/>
        <w:rPr>
          <w:rFonts w:ascii="Arial" w:eastAsia="Arial" w:hAnsi="Arial" w:cs="Arial"/>
        </w:rPr>
      </w:pPr>
      <w:r>
        <w:rPr>
          <w:rFonts w:ascii="Arial" w:eastAsia="Arial" w:hAnsi="Arial" w:cs="Arial"/>
        </w:rPr>
        <w:t>Bibliografía Obligatoria:</w:t>
      </w:r>
    </w:p>
    <w:p w14:paraId="2868F8AC"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ARDILA, R. (2013). Los orígenes del conductismo, Watson y el manifiesto conductista de 1913. Revista Latinoamericana de psicología, Vol. 45 nro 2. Pp 315-319- Fundación Universitaria Konrad Lorenz. Bogotá, Colombia.</w:t>
      </w:r>
    </w:p>
    <w:p w14:paraId="5E1897CE"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CASTELNUOVO, R. (2020). Introducción a la Psicología Educacional. Documento de Cátedra. Psicología Educacional, Instituto Superior de Formación Docente 803, Puerto Madryn.</w:t>
      </w:r>
    </w:p>
    <w:p w14:paraId="708491F3"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CASTELNUOVO, R. (2020). Teorías Cognitivas. Documento de Cátedra. Psicología Educacional, Instituto Superior de Formación Docente 803, Puerto Madryn.</w:t>
      </w:r>
    </w:p>
    <w:p w14:paraId="28E0087F"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CASTELNUOVO, R. (2020). Crecimiento, maduración y desarrollo. Documento de Cátedra. Psicología Educacional, Instituto Superior de Formación Docente 803, Puerto Madryn.</w:t>
      </w:r>
    </w:p>
    <w:p w14:paraId="35B2B54C"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COLL, C. (1998). Psicología de la Educación. Edhasa. ISBN 8435069001,9788435069007</w:t>
      </w:r>
    </w:p>
    <w:p w14:paraId="23E1F130"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 xml:space="preserve">GRASSI, A. y CORDOVA, N. (2010). La Primavera del significante en “Entre niños, adolescentes y relaciones parentales”. Pp 25-35.  Ed. Entreideas, Buenos Aires. </w:t>
      </w:r>
    </w:p>
    <w:p w14:paraId="2DEE8A57"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 xml:space="preserve">LELIWA, S, SCANGARELLO, I (2011). Psicología y Educación, Cap. 2,3,4,5 y 6). Edit. Brujas, Córdoba. </w:t>
      </w:r>
    </w:p>
    <w:p w14:paraId="333E0585" w14:textId="77777777" w:rsidR="00CF5B2F" w:rsidRDefault="00000000">
      <w:pPr>
        <w:numPr>
          <w:ilvl w:val="0"/>
          <w:numId w:val="1"/>
        </w:numPr>
        <w:spacing w:after="240"/>
        <w:ind w:left="0" w:hanging="2"/>
        <w:jc w:val="both"/>
        <w:rPr>
          <w:rFonts w:ascii="Arial" w:eastAsia="Arial" w:hAnsi="Arial" w:cs="Arial"/>
        </w:rPr>
      </w:pPr>
      <w:r>
        <w:rPr>
          <w:rFonts w:ascii="Arial" w:eastAsia="Arial" w:hAnsi="Arial" w:cs="Arial"/>
        </w:rPr>
        <w:t xml:space="preserve">WOOLFOLK, A. (1999). Psicología educativa. Cap. 7. Teorías Cognoscitivas, selección de Ap.. PRENTICE HALL, México. </w:t>
      </w:r>
    </w:p>
    <w:p w14:paraId="6D6697F4" w14:textId="77777777" w:rsidR="00CF5B2F" w:rsidRDefault="00000000">
      <w:pPr>
        <w:spacing w:after="240"/>
        <w:ind w:left="0" w:hanging="2"/>
        <w:jc w:val="both"/>
        <w:rPr>
          <w:rFonts w:ascii="Arial" w:eastAsia="Arial" w:hAnsi="Arial" w:cs="Arial"/>
        </w:rPr>
      </w:pPr>
      <w:r>
        <w:rPr>
          <w:rFonts w:ascii="Arial" w:eastAsia="Arial" w:hAnsi="Arial" w:cs="Arial"/>
        </w:rPr>
        <w:t>Bibliografía Complementaria:</w:t>
      </w:r>
    </w:p>
    <w:p w14:paraId="13E06746"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 xml:space="preserve">BAQUERO, R. (2001). Vigostky y el aprendizaje escolar. Aique Grupo Editor S.A., Buenos Aires. </w:t>
      </w:r>
    </w:p>
    <w:p w14:paraId="22E6B72E"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CAZDEN, C (1991). El discurso en el aula. Paidos, Barcelona.</w:t>
      </w:r>
    </w:p>
    <w:p w14:paraId="080E35E2"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CASULLO, M.M. (1991). Psicología para docentes. Guadalupe, Buenos Aires.</w:t>
      </w:r>
    </w:p>
    <w:p w14:paraId="2435CE3C"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lastRenderedPageBreak/>
        <w:t>FREUD, S. (1996). “Esquema de Psicoanálisis”. En J. L. Etcheverry (Traduc.), Obras Completas: Sigmund Freud (Vol. 23, pp. 143-145; 150-154).Amorrortu, Buenos Aires.  (Trabajo original publicado 1939)</w:t>
      </w:r>
    </w:p>
    <w:p w14:paraId="3F3590F0"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GARCIA ALLEN, J. (07/2003). La Terapia Cognitiva de Aaron Beck. En Psicología y Mente [Artículo]. Recuperado de: https://psicologiaymente.com/clinica/terapia-cognitiva-aaron-beck [23/05/2019].</w:t>
      </w:r>
    </w:p>
    <w:p w14:paraId="0506296C"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GONZÁLEZ ZEPEDA, ADRIANA (2004). Aportaciones de la psicología conductual a la educación. Revista Electrónica Sinéctica, Número 25(número de la revista), 15-22. Instituto Tecnológico y de Estudios Superiores de Occidente Jalisco, México. Recuperado de Redalyc.Aportaciones de la psicología conductual a la educación.</w:t>
      </w:r>
    </w:p>
    <w:p w14:paraId="586FCCBB"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PIAGET, J. (1973). Estudios de psicología genética. Emece Editores, Buenos Aires.</w:t>
      </w:r>
    </w:p>
    <w:p w14:paraId="540DFA20" w14:textId="77777777" w:rsidR="00CF5B2F" w:rsidRDefault="00000000">
      <w:pPr>
        <w:numPr>
          <w:ilvl w:val="0"/>
          <w:numId w:val="2"/>
        </w:numPr>
        <w:spacing w:after="240"/>
        <w:ind w:left="0" w:hanging="2"/>
        <w:jc w:val="both"/>
        <w:rPr>
          <w:rFonts w:ascii="Arial" w:eastAsia="Arial" w:hAnsi="Arial" w:cs="Arial"/>
        </w:rPr>
      </w:pPr>
      <w:r>
        <w:rPr>
          <w:rFonts w:ascii="Arial" w:eastAsia="Arial" w:hAnsi="Arial" w:cs="Arial"/>
        </w:rPr>
        <w:t xml:space="preserve">WOOLFOLK, A. (1999). Psicología educativa. Cap. 1 “Maestros, la enseñanza y la Psicología Educacional”, selección de Ap.. PRENTICE HALL, México. </w:t>
      </w:r>
    </w:p>
    <w:p w14:paraId="37416F73" w14:textId="77777777" w:rsidR="00CF5B2F" w:rsidRDefault="00000000">
      <w:pPr>
        <w:spacing w:after="240"/>
        <w:ind w:left="0" w:hanging="2"/>
        <w:jc w:val="both"/>
        <w:rPr>
          <w:rFonts w:ascii="Arial" w:eastAsia="Arial" w:hAnsi="Arial" w:cs="Arial"/>
          <w:u w:val="single"/>
        </w:rPr>
      </w:pPr>
      <w:r>
        <w:rPr>
          <w:rFonts w:ascii="Arial" w:eastAsia="Arial" w:hAnsi="Arial" w:cs="Arial"/>
          <w:b/>
          <w:u w:val="single"/>
        </w:rPr>
        <w:t>EJE 2: Enseñanza y aprendizaje</w:t>
      </w:r>
    </w:p>
    <w:p w14:paraId="645D4FBD" w14:textId="77777777" w:rsidR="00CF5B2F" w:rsidRDefault="00000000">
      <w:pPr>
        <w:spacing w:after="240"/>
        <w:ind w:left="0" w:hanging="2"/>
        <w:jc w:val="both"/>
        <w:rPr>
          <w:rFonts w:ascii="Arial" w:eastAsia="Arial" w:hAnsi="Arial" w:cs="Arial"/>
        </w:rPr>
      </w:pPr>
      <w:r>
        <w:rPr>
          <w:rFonts w:ascii="Arial" w:eastAsia="Arial" w:hAnsi="Arial" w:cs="Arial"/>
        </w:rPr>
        <w:t>Aprendizaje y aprendizaje escolar. Constitución subjetiva. Berger y Luckmann: socialización primaria y secundaria. El deseo de aprender y el deseo de enseñar: objeto a. La motivación: pirámide de Maslow. Conocimiento espontáneo y conocimiento escolar. Modalidades de enseñanza y aprendizaje: hablar y escuchar; comprensión de textos.</w:t>
      </w:r>
    </w:p>
    <w:p w14:paraId="6AC8F201" w14:textId="77777777" w:rsidR="00CF5B2F" w:rsidRDefault="00000000">
      <w:pPr>
        <w:spacing w:after="240"/>
        <w:ind w:left="0" w:hanging="2"/>
        <w:jc w:val="both"/>
        <w:rPr>
          <w:rFonts w:ascii="Arial" w:eastAsia="Arial" w:hAnsi="Arial" w:cs="Arial"/>
        </w:rPr>
      </w:pPr>
      <w:r>
        <w:rPr>
          <w:rFonts w:ascii="Arial" w:eastAsia="Arial" w:hAnsi="Arial" w:cs="Arial"/>
        </w:rPr>
        <w:t xml:space="preserve">Bibliografía Obligatoria </w:t>
      </w:r>
    </w:p>
    <w:p w14:paraId="39F9033B" w14:textId="77777777" w:rsidR="00CF5B2F" w:rsidRDefault="00000000">
      <w:pPr>
        <w:numPr>
          <w:ilvl w:val="0"/>
          <w:numId w:val="3"/>
        </w:numPr>
        <w:spacing w:after="240"/>
        <w:ind w:left="0" w:hanging="2"/>
        <w:jc w:val="both"/>
        <w:rPr>
          <w:rFonts w:ascii="Arial" w:eastAsia="Arial" w:hAnsi="Arial" w:cs="Arial"/>
        </w:rPr>
      </w:pPr>
      <w:r>
        <w:rPr>
          <w:rFonts w:ascii="Arial" w:eastAsia="Arial" w:hAnsi="Arial" w:cs="Arial"/>
        </w:rPr>
        <w:t>CASTELNUOVO, R. (2022). Procesos de Socialización Primaria y Secundaria. Documento de Cátedra. Psicología Educacional, Instituto Superior de Formación Docente 803, Puerto Madryn.</w:t>
      </w:r>
    </w:p>
    <w:p w14:paraId="20FDB372" w14:textId="77777777" w:rsidR="00CF5B2F" w:rsidRDefault="00000000">
      <w:pPr>
        <w:numPr>
          <w:ilvl w:val="0"/>
          <w:numId w:val="3"/>
        </w:numPr>
        <w:spacing w:after="240"/>
        <w:ind w:left="0" w:hanging="2"/>
        <w:jc w:val="both"/>
        <w:rPr>
          <w:rFonts w:ascii="Arial" w:eastAsia="Arial" w:hAnsi="Arial" w:cs="Arial"/>
        </w:rPr>
      </w:pPr>
      <w:r>
        <w:rPr>
          <w:rFonts w:ascii="Arial" w:eastAsia="Arial" w:hAnsi="Arial" w:cs="Arial"/>
        </w:rPr>
        <w:t>LELIWA, S, SCANGARELLO, I (2011). Psicología y Educación. Cap.2 Constitución del Sujeto Psíquico. Edit. Brujas, Córdoba.</w:t>
      </w:r>
    </w:p>
    <w:p w14:paraId="3FD9DB0E" w14:textId="77777777" w:rsidR="00CF5B2F" w:rsidRDefault="00000000">
      <w:pPr>
        <w:numPr>
          <w:ilvl w:val="0"/>
          <w:numId w:val="3"/>
        </w:numPr>
        <w:spacing w:after="240"/>
        <w:ind w:left="0" w:hanging="2"/>
        <w:jc w:val="both"/>
        <w:rPr>
          <w:rFonts w:ascii="Arial" w:eastAsia="Arial" w:hAnsi="Arial" w:cs="Arial"/>
        </w:rPr>
      </w:pPr>
      <w:r>
        <w:rPr>
          <w:rFonts w:ascii="Arial" w:eastAsia="Arial" w:hAnsi="Arial" w:cs="Arial"/>
        </w:rPr>
        <w:t>RODRIGO, M. J. (1997) "El hombre de la calle, el científico y el alumno: ¿un solo constructivismo o tres?". Novedades Educativas, vol. 76, pp. 59-61.</w:t>
      </w:r>
    </w:p>
    <w:p w14:paraId="23B57C3C" w14:textId="77777777" w:rsidR="00CF5B2F" w:rsidRDefault="00000000">
      <w:pPr>
        <w:numPr>
          <w:ilvl w:val="0"/>
          <w:numId w:val="3"/>
        </w:numPr>
        <w:spacing w:after="240"/>
        <w:ind w:left="0" w:hanging="2"/>
        <w:jc w:val="both"/>
        <w:rPr>
          <w:rFonts w:ascii="Arial" w:eastAsia="Arial" w:hAnsi="Arial" w:cs="Arial"/>
        </w:rPr>
      </w:pPr>
      <w:r>
        <w:rPr>
          <w:rFonts w:ascii="Arial" w:eastAsia="Arial" w:hAnsi="Arial" w:cs="Arial"/>
        </w:rPr>
        <w:t>TAPIA, J. A. (1997). Cap. 1. Un problema: ¿qué hacer para motivar a mis alumnos?, Cap. 2 Razones de los alumnos y alumnas para trabajar en clase. En “Motivar para el aprendizaje”. Edebé. España.   Capitulo 1 y 2</w:t>
      </w:r>
    </w:p>
    <w:p w14:paraId="046BBC9A" w14:textId="77777777" w:rsidR="00CF5B2F" w:rsidRDefault="00000000">
      <w:pPr>
        <w:numPr>
          <w:ilvl w:val="0"/>
          <w:numId w:val="3"/>
        </w:numPr>
        <w:spacing w:after="240"/>
        <w:ind w:left="0" w:hanging="2"/>
        <w:jc w:val="both"/>
        <w:rPr>
          <w:rFonts w:ascii="Arial" w:eastAsia="Arial" w:hAnsi="Arial" w:cs="Arial"/>
        </w:rPr>
      </w:pPr>
      <w:r>
        <w:rPr>
          <w:rFonts w:ascii="Arial" w:eastAsia="Arial" w:hAnsi="Arial" w:cs="Arial"/>
        </w:rPr>
        <w:t>BARREIRO, T. (2009). Los del Fondo (Capítulos 2, 4 y 6). Novedades Educativas.</w:t>
      </w:r>
    </w:p>
    <w:p w14:paraId="342F1944" w14:textId="77777777" w:rsidR="00CF5B2F" w:rsidRDefault="00000000">
      <w:pPr>
        <w:spacing w:after="240"/>
        <w:ind w:left="0" w:hanging="2"/>
        <w:jc w:val="both"/>
        <w:rPr>
          <w:rFonts w:ascii="Arial" w:eastAsia="Arial" w:hAnsi="Arial" w:cs="Arial"/>
        </w:rPr>
      </w:pPr>
      <w:r>
        <w:rPr>
          <w:rFonts w:ascii="Arial" w:eastAsia="Arial" w:hAnsi="Arial" w:cs="Arial"/>
        </w:rPr>
        <w:t>Bibliografía Complementaria:</w:t>
      </w:r>
    </w:p>
    <w:p w14:paraId="0DE91DD2" w14:textId="77777777" w:rsidR="00CF5B2F" w:rsidRDefault="00000000">
      <w:pPr>
        <w:numPr>
          <w:ilvl w:val="0"/>
          <w:numId w:val="4"/>
        </w:numPr>
        <w:spacing w:after="240"/>
        <w:ind w:left="0" w:hanging="2"/>
        <w:jc w:val="both"/>
        <w:rPr>
          <w:rFonts w:ascii="Arial" w:eastAsia="Arial" w:hAnsi="Arial" w:cs="Arial"/>
        </w:rPr>
      </w:pPr>
      <w:r>
        <w:rPr>
          <w:rFonts w:ascii="Arial" w:eastAsia="Arial" w:hAnsi="Arial" w:cs="Arial"/>
        </w:rPr>
        <w:t>HUERTAS, J (1997). Motivaciòn, querer aprender. Aique Grupo Editor S.A.</w:t>
      </w:r>
    </w:p>
    <w:p w14:paraId="4329CC24" w14:textId="77777777" w:rsidR="00CF5B2F" w:rsidRDefault="00000000">
      <w:pPr>
        <w:numPr>
          <w:ilvl w:val="0"/>
          <w:numId w:val="4"/>
        </w:numPr>
        <w:spacing w:after="240"/>
        <w:ind w:left="0" w:hanging="2"/>
        <w:jc w:val="both"/>
        <w:rPr>
          <w:rFonts w:ascii="Arial" w:eastAsia="Arial" w:hAnsi="Arial" w:cs="Arial"/>
        </w:rPr>
      </w:pPr>
      <w:r>
        <w:rPr>
          <w:rFonts w:ascii="Arial" w:eastAsia="Arial" w:hAnsi="Arial" w:cs="Arial"/>
        </w:rPr>
        <w:t>BERGER P. y T. LUCKMANN (1986): La construcción social de la realidad. Amorrortu, Buenos Aires.</w:t>
      </w:r>
    </w:p>
    <w:p w14:paraId="35896C87" w14:textId="77777777" w:rsidR="00CF5B2F" w:rsidRDefault="00000000">
      <w:pPr>
        <w:numPr>
          <w:ilvl w:val="0"/>
          <w:numId w:val="4"/>
        </w:numPr>
        <w:spacing w:after="240"/>
        <w:ind w:left="0" w:hanging="2"/>
        <w:jc w:val="both"/>
        <w:rPr>
          <w:rFonts w:ascii="Arial" w:eastAsia="Arial" w:hAnsi="Arial" w:cs="Arial"/>
        </w:rPr>
      </w:pPr>
      <w:r>
        <w:rPr>
          <w:rFonts w:ascii="Arial" w:eastAsia="Arial" w:hAnsi="Arial" w:cs="Arial"/>
        </w:rPr>
        <w:t>ABUSAMRA, CASAJÚS, FERRERES, RAITER, DE BENI &amp;, CORNOLDI (2011). Programa Leer para Comprender. Desarrollo de la comprensión de textos. Paidós, Buenos Aires</w:t>
      </w:r>
    </w:p>
    <w:p w14:paraId="74153CA6" w14:textId="77777777" w:rsidR="00CF5B2F" w:rsidRDefault="00000000">
      <w:pPr>
        <w:spacing w:after="240"/>
        <w:ind w:left="0" w:hanging="2"/>
        <w:jc w:val="both"/>
        <w:rPr>
          <w:rFonts w:ascii="Arial" w:eastAsia="Arial" w:hAnsi="Arial" w:cs="Arial"/>
          <w:u w:val="single"/>
        </w:rPr>
      </w:pPr>
      <w:r>
        <w:rPr>
          <w:rFonts w:ascii="Arial" w:eastAsia="Arial" w:hAnsi="Arial" w:cs="Arial"/>
          <w:b/>
          <w:u w:val="single"/>
        </w:rPr>
        <w:t>EJE 3: El aula, educación inclusiva</w:t>
      </w:r>
    </w:p>
    <w:p w14:paraId="6DC4A2B0"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Aprender en el aula. Clima de la clase, vínculos, interacciones, relaciones de poder. Dimensión Psicoafectiva. Infancias y adolescencias en las escuelas. La educación inclusiva y los sujetos.</w:t>
      </w:r>
    </w:p>
    <w:p w14:paraId="2BA239D7"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Inclusión, ideal pansófico comeniano y homogeneización. Redistribución y reconocimiento. Inclusión y calidad. Inclusión e integración: concepciones acerca de lo diverso. El fracaso escolar desde una perspectiva psicoeducativa situacional. Crítica al modelo patológico individual del fracaso escolar.</w:t>
      </w:r>
    </w:p>
    <w:p w14:paraId="0991C959"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lastRenderedPageBreak/>
        <w:t>Inclusión e integración. Culturas, políticas y prácticas inclusivas. De las “necesidades educativas especiales” a la consideración de las “barreras para el aprendizaje y la participación”. Igualdad, diversidad y justicia. Prácticas inclusivas en el caso del trastorno del espectro autista (TEA). Trastorno o condición.</w:t>
      </w:r>
    </w:p>
    <w:p w14:paraId="38E5FF73"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Discapacidad o neurodiversidad. La importancia del diagnóstico. Algunas estrategias de intervención educativa. Trabajo con la confianza de los alumnos y la eliminación de etiquetas en el desarrollo de la práctica. Autoridad.</w:t>
      </w:r>
    </w:p>
    <w:p w14:paraId="6A85A761" w14:textId="77777777" w:rsidR="00CF5B2F" w:rsidRDefault="00000000">
      <w:pPr>
        <w:spacing w:after="240"/>
        <w:ind w:left="0" w:hanging="2"/>
        <w:jc w:val="both"/>
        <w:rPr>
          <w:rFonts w:ascii="Arial" w:eastAsia="Arial" w:hAnsi="Arial" w:cs="Arial"/>
        </w:rPr>
      </w:pPr>
      <w:r>
        <w:rPr>
          <w:rFonts w:ascii="Arial" w:eastAsia="Arial" w:hAnsi="Arial" w:cs="Arial"/>
        </w:rPr>
        <w:t>Bibliografía Obligatoria:</w:t>
      </w:r>
    </w:p>
    <w:p w14:paraId="247334D1"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BARREIRO, T. (2009). Los del Fondo. Novedades Educativas.</w:t>
      </w:r>
    </w:p>
    <w:p w14:paraId="72BE0413"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BENASAYAG, M. &amp; SCHMIT, G. (2010). Ética y etiqueta. Cap. 6. En Las pasiones tristes. Sufrimiento psíquico y crisis social (pp. 77-97). Buenos Aires: Siglo XXI.</w:t>
      </w:r>
    </w:p>
    <w:p w14:paraId="7EAF380C"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CADAVEIRA, M. (2019). Cap. 2. Autismos: otras formas de ver el mundo. En L. Bakker y J. Rubiales, Neuroeducación y diversidad. Herramientas para potenciar las diferentes maneras de aprender (pp. 21-34). Buenos Aires: Akadia.</w:t>
      </w:r>
    </w:p>
    <w:p w14:paraId="23061AF9"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CORNU, L. (1999) La confianza en las relaciones pedagógicas. En G. Frigerio; M. Poggi; D. Korinfeld (comps) Construyendo un saber sobre el interior de la escuela (pp. 19-26). Buenos Aires: CEM-Novedades Educativas</w:t>
      </w:r>
    </w:p>
    <w:p w14:paraId="3C458A9D"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GLAZ, C. (2017). Problemáticas en el aprendizaje de jóvenes y adultos, en De aquí y de allá Experiencias en escenarios educativos interpeladas desde la perspectiva sociocultural. Compilado y editado por Cristina Erausquin – 1a ed. PsiDispa, CABA.</w:t>
      </w:r>
    </w:p>
    <w:p w14:paraId="52E37FCD" w14:textId="77777777" w:rsidR="00CF5B2F" w:rsidRDefault="00000000">
      <w:pPr>
        <w:widowControl w:val="0"/>
        <w:numPr>
          <w:ilvl w:val="0"/>
          <w:numId w:val="5"/>
        </w:numPr>
        <w:spacing w:line="360" w:lineRule="auto"/>
        <w:ind w:left="0" w:hanging="2"/>
        <w:jc w:val="both"/>
      </w:pPr>
      <w:r>
        <w:rPr>
          <w:rFonts w:ascii="Arial" w:eastAsia="Arial" w:hAnsi="Arial" w:cs="Arial"/>
          <w:sz w:val="22"/>
          <w:szCs w:val="22"/>
        </w:rPr>
        <w:t>MINISTERIO DE EDUCACIÓN, CULTURA, CIENCIA Y TECNOLOGÍA (2019). Educación Inclusiva: fundamentos y prácticas para la inclusión. La Ed. Ministerio de educación, Cultura, Ciencia y Tecnología. CABA. ISNB 978-987-47076-5-9</w:t>
      </w:r>
    </w:p>
    <w:p w14:paraId="7CAAC259" w14:textId="77777777" w:rsidR="00CF5B2F" w:rsidRDefault="00000000">
      <w:pPr>
        <w:widowControl w:val="0"/>
        <w:numPr>
          <w:ilvl w:val="0"/>
          <w:numId w:val="5"/>
        </w:numPr>
        <w:spacing w:line="360" w:lineRule="auto"/>
        <w:ind w:left="0" w:hanging="2"/>
        <w:jc w:val="both"/>
      </w:pPr>
      <w:r>
        <w:rPr>
          <w:rFonts w:ascii="Arial" w:eastAsia="Arial" w:hAnsi="Arial" w:cs="Arial"/>
          <w:sz w:val="22"/>
          <w:szCs w:val="22"/>
        </w:rPr>
        <w:t>MINISTERIO DE EDUCACIÓN, CULTURA, CIENCIA Y TECNOLOGÍA (2019). Eliminando barreras para el aprendizaje y la participación en alumnos con dificultades específicas del aprendizaje (DEA). La Ed. Ministerio de educación, Cultura, Ciencia y Tecnología. CABA. ISNB 978-987-47076-6-6</w:t>
      </w:r>
    </w:p>
    <w:p w14:paraId="3DEEB93B" w14:textId="77777777" w:rsidR="00CF5B2F" w:rsidRDefault="00000000">
      <w:pPr>
        <w:widowControl w:val="0"/>
        <w:numPr>
          <w:ilvl w:val="0"/>
          <w:numId w:val="5"/>
        </w:numPr>
        <w:spacing w:line="360" w:lineRule="auto"/>
        <w:ind w:left="0" w:hanging="2"/>
        <w:jc w:val="both"/>
      </w:pPr>
      <w:r>
        <w:rPr>
          <w:rFonts w:ascii="Arial" w:eastAsia="Arial" w:hAnsi="Arial" w:cs="Arial"/>
          <w:sz w:val="22"/>
          <w:szCs w:val="22"/>
        </w:rPr>
        <w:t>MINISTERIO DE EDUCACIÓN, CULTURA, CIENCIA Y TECNOLOGÍA (2019). Eliminando barreras para el aprendizaje y la participación en alumnos con trastorno del espectro autista (TEA). La Ed. Ministerio de educación, Cultura, Ciencia y Tecnología. CABA. ISNB 978-987-47076-8-0</w:t>
      </w:r>
    </w:p>
    <w:p w14:paraId="0A44F1AA"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NARODOWSKI, M. (2008). La inclusión educativa. Reflexiones y propuestas entre las teorías, las demandas y los slogans. REICE, Revista Electrónica Iberoamericana sobre Calidad, Eficacia y Cambio en Educación, 6(2), 19-26.</w:t>
      </w:r>
    </w:p>
    <w:p w14:paraId="11F7C972"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TERIGI, F. (2009). El fracaso escolar desde la perspectiva psicoeducativa: hacia una reconceptualización situacional. Revista Iberoamericana de Educación. N° 50, pp. 23-39. /13/</w:t>
      </w:r>
    </w:p>
    <w:p w14:paraId="69F7E737" w14:textId="77777777" w:rsidR="00CF5B2F" w:rsidRDefault="00000000">
      <w:pPr>
        <w:numPr>
          <w:ilvl w:val="0"/>
          <w:numId w:val="5"/>
        </w:numPr>
        <w:spacing w:after="240"/>
        <w:ind w:left="0" w:hanging="2"/>
        <w:jc w:val="both"/>
        <w:rPr>
          <w:rFonts w:ascii="Arial" w:eastAsia="Arial" w:hAnsi="Arial" w:cs="Arial"/>
        </w:rPr>
      </w:pPr>
      <w:r>
        <w:rPr>
          <w:rFonts w:ascii="Arial" w:eastAsia="Arial" w:hAnsi="Arial" w:cs="Arial"/>
        </w:rPr>
        <w:t>VALDEZ, D. (2017). Cap. 6. Educación inclusiva. En J. A. Seda, La convención sobre los derechos de las personas con discapacidad (pp. 83-96). Buenos Aires: Eudeba.</w:t>
      </w:r>
    </w:p>
    <w:p w14:paraId="666E09C9" w14:textId="77777777" w:rsidR="00CF5B2F" w:rsidRDefault="00000000">
      <w:pPr>
        <w:spacing w:after="240"/>
        <w:ind w:left="0" w:hanging="2"/>
        <w:jc w:val="both"/>
        <w:rPr>
          <w:rFonts w:ascii="Arial" w:eastAsia="Arial" w:hAnsi="Arial" w:cs="Arial"/>
        </w:rPr>
      </w:pPr>
      <w:r>
        <w:rPr>
          <w:rFonts w:ascii="Arial" w:eastAsia="Arial" w:hAnsi="Arial" w:cs="Arial"/>
        </w:rPr>
        <w:t>Bibliografía Complementaria:</w:t>
      </w:r>
    </w:p>
    <w:p w14:paraId="267A57EF" w14:textId="77777777" w:rsidR="00CF5B2F" w:rsidRDefault="00000000">
      <w:pPr>
        <w:numPr>
          <w:ilvl w:val="0"/>
          <w:numId w:val="6"/>
        </w:numPr>
        <w:spacing w:after="240"/>
        <w:ind w:left="0" w:hanging="2"/>
        <w:jc w:val="both"/>
        <w:rPr>
          <w:rFonts w:ascii="Arial" w:eastAsia="Arial" w:hAnsi="Arial" w:cs="Arial"/>
        </w:rPr>
      </w:pPr>
      <w:r>
        <w:rPr>
          <w:rFonts w:ascii="Arial" w:eastAsia="Arial" w:hAnsi="Arial" w:cs="Arial"/>
        </w:rPr>
        <w:t>DUSSEL I., SOUTHWELL Y OTROS. La autoridad en cuestión. En AAVV DOSSIER Monitor, Sumario N°20. Pp.25-40</w:t>
      </w:r>
    </w:p>
    <w:p w14:paraId="3E8C4597" w14:textId="77777777" w:rsidR="00CF5B2F" w:rsidRDefault="00000000">
      <w:pPr>
        <w:pBdr>
          <w:top w:val="single" w:sz="4" w:space="1" w:color="000000"/>
          <w:left w:val="single" w:sz="4" w:space="4" w:color="000000"/>
          <w:bottom w:val="single" w:sz="4" w:space="1" w:color="000000"/>
          <w:right w:val="single" w:sz="4" w:space="4" w:color="000000"/>
        </w:pBdr>
        <w:shd w:val="clear" w:color="auto" w:fill="0D0D0D"/>
        <w:spacing w:after="240"/>
        <w:ind w:left="0" w:hanging="2"/>
        <w:jc w:val="both"/>
        <w:rPr>
          <w:rFonts w:ascii="Arial" w:eastAsia="Arial" w:hAnsi="Arial" w:cs="Arial"/>
          <w:color w:val="FFFFFF"/>
        </w:rPr>
      </w:pPr>
      <w:r>
        <w:rPr>
          <w:rFonts w:ascii="Arial" w:eastAsia="Arial" w:hAnsi="Arial" w:cs="Arial"/>
          <w:b/>
          <w:color w:val="FFFFFF"/>
        </w:rPr>
        <w:lastRenderedPageBreak/>
        <w:t xml:space="preserve">4. EVALUACIÓN – ACREDITACIÓN </w:t>
      </w:r>
    </w:p>
    <w:p w14:paraId="26567C90"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La evaluación está diseñada como una parte del proceso de enseñanza y aprendizaje. Permite introducir durante los mismos, transformaciones que puedan ser necesarias para alcanzar los objetivos previstos. Por otra parte, posibilita al estudiantado reflexionar sobre los aprendizajes realizados, conociendo a través del intercambio con el docente aquellos contenidos que deberán afianzarse.</w:t>
      </w:r>
    </w:p>
    <w:p w14:paraId="5EF55775"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Los criterios tenidos en cuenta en el proceso de aprendizaje a la hora de evaluar: Responsabilidad; Compromiso activo en el proceso de aprendizaje; Voluntad de superación de las dificultades; Capacidad de trabajo conjunto para el logro de objetivos compartidos; Capacidad de análisis, reflexión y crítica.; Conocimiento de los contenidos y pertinencia en la terminología utilizada; Presentación en tiempo y forma de las producciones solicitadas; Coherencia y cohesión del lenguaje oral y escrito; Adecuación a las consignas, y; Capacidad creativa, originalidad.</w:t>
      </w:r>
    </w:p>
    <w:p w14:paraId="052917B9" w14:textId="77777777" w:rsidR="00CF5B2F" w:rsidRDefault="00000000">
      <w:pPr>
        <w:pBdr>
          <w:top w:val="nil"/>
          <w:left w:val="nil"/>
          <w:bottom w:val="nil"/>
          <w:right w:val="nil"/>
          <w:between w:val="nil"/>
        </w:pBdr>
        <w:spacing w:before="50" w:line="240" w:lineRule="auto"/>
        <w:ind w:left="0" w:hanging="2"/>
        <w:jc w:val="both"/>
        <w:rPr>
          <w:rFonts w:ascii="Arial" w:eastAsia="Arial" w:hAnsi="Arial" w:cs="Arial"/>
        </w:rPr>
      </w:pPr>
      <w:r>
        <w:rPr>
          <w:rFonts w:ascii="Arial" w:eastAsia="Arial" w:hAnsi="Arial" w:cs="Arial"/>
        </w:rPr>
        <w:t>En cuanto al proceso de enseñanza, se plantean indagación y análisis respecto de: lo realizado y lo planificado. Reflexión sobre el grado de concreción de los objetivos planteados en la propuesta. En la misma, se tendrá en cuenta la congruencia entre lo programado para el desarrollo de la cursada y las intervenciones de la docente como guía y motivadora en el proceso. Es importante el registro de los recursos, estrategias y metodologías utilizadas (tiempos, espacios, tipos de agrupaciones utilizadas, instrumentos de evaluación, dinámicas áulicas, entre otros), y el efecto en los procesos de aprendizaje</w:t>
      </w:r>
    </w:p>
    <w:p w14:paraId="147FBD1F" w14:textId="77777777" w:rsidR="00CF5B2F" w:rsidRDefault="00000000">
      <w:pPr>
        <w:spacing w:after="240"/>
        <w:ind w:left="0" w:hanging="2"/>
        <w:jc w:val="both"/>
        <w:rPr>
          <w:rFonts w:ascii="Arial" w:eastAsia="Arial" w:hAnsi="Arial" w:cs="Arial"/>
          <w:u w:val="single"/>
        </w:rPr>
      </w:pPr>
      <w:r>
        <w:rPr>
          <w:rFonts w:ascii="Arial" w:eastAsia="Arial" w:hAnsi="Arial" w:cs="Arial"/>
          <w:b/>
          <w:u w:val="single"/>
        </w:rPr>
        <w:t>ACREDITACIÓN (CONDICIONES ALUMNO/A REGULAR Y LIBRE)</w:t>
      </w:r>
    </w:p>
    <w:p w14:paraId="0387087C" w14:textId="77777777" w:rsidR="00CF5B2F" w:rsidRDefault="00000000">
      <w:pPr>
        <w:numPr>
          <w:ilvl w:val="0"/>
          <w:numId w:val="6"/>
        </w:numPr>
        <w:spacing w:after="240"/>
        <w:ind w:left="0" w:hanging="2"/>
        <w:jc w:val="both"/>
        <w:rPr>
          <w:rFonts w:ascii="Arial" w:eastAsia="Arial" w:hAnsi="Arial" w:cs="Arial"/>
        </w:rPr>
      </w:pPr>
      <w:r>
        <w:rPr>
          <w:rFonts w:ascii="Arial" w:eastAsia="Arial" w:hAnsi="Arial" w:cs="Arial"/>
          <w:b/>
        </w:rPr>
        <w:t>ALUMNOS/AS REGULARES</w:t>
      </w:r>
    </w:p>
    <w:p w14:paraId="6E5D35B1" w14:textId="77777777" w:rsidR="00CF5B2F" w:rsidRDefault="00000000">
      <w:pPr>
        <w:spacing w:after="240"/>
        <w:ind w:left="0" w:hanging="2"/>
        <w:jc w:val="both"/>
        <w:rPr>
          <w:rFonts w:ascii="Arial" w:eastAsia="Arial" w:hAnsi="Arial" w:cs="Arial"/>
          <w:u w:val="single"/>
        </w:rPr>
      </w:pPr>
      <w:r>
        <w:rPr>
          <w:rFonts w:ascii="Arial" w:eastAsia="Arial" w:hAnsi="Arial" w:cs="Arial"/>
          <w:u w:val="single"/>
        </w:rPr>
        <w:t>Aprobación con examen final:</w:t>
      </w:r>
    </w:p>
    <w:p w14:paraId="08E1AD6F" w14:textId="77777777" w:rsidR="00CF5B2F" w:rsidRDefault="00000000">
      <w:pPr>
        <w:spacing w:after="240"/>
        <w:ind w:left="0" w:hanging="2"/>
        <w:jc w:val="both"/>
        <w:rPr>
          <w:rFonts w:ascii="Arial" w:eastAsia="Arial" w:hAnsi="Arial" w:cs="Arial"/>
        </w:rPr>
      </w:pPr>
      <w:r>
        <w:rPr>
          <w:rFonts w:ascii="Arial" w:eastAsia="Arial" w:hAnsi="Arial" w:cs="Arial"/>
        </w:rPr>
        <w:t>Aprobar dos parciales con una nota de 4 a 6 puntos o sus correspondientes recuperatorios.</w:t>
      </w:r>
    </w:p>
    <w:p w14:paraId="54C71E9D" w14:textId="77777777" w:rsidR="00CF5B2F" w:rsidRDefault="00000000">
      <w:pPr>
        <w:spacing w:after="240"/>
        <w:ind w:left="0" w:hanging="2"/>
        <w:jc w:val="both"/>
        <w:rPr>
          <w:rFonts w:ascii="Arial" w:eastAsia="Arial" w:hAnsi="Arial" w:cs="Arial"/>
        </w:rPr>
      </w:pPr>
      <w:r>
        <w:rPr>
          <w:rFonts w:ascii="Arial" w:eastAsia="Arial" w:hAnsi="Arial" w:cs="Arial"/>
        </w:rPr>
        <w:t>Aprobar trabajos prácticos con una nota de 4 puntos o sus correspondientes recuperatorios.</w:t>
      </w:r>
    </w:p>
    <w:p w14:paraId="75EE5C13" w14:textId="77777777" w:rsidR="00CF5B2F" w:rsidRDefault="00000000">
      <w:pPr>
        <w:spacing w:after="240"/>
        <w:ind w:left="0" w:hanging="2"/>
        <w:jc w:val="both"/>
        <w:rPr>
          <w:rFonts w:ascii="Arial" w:eastAsia="Arial" w:hAnsi="Arial" w:cs="Arial"/>
        </w:rPr>
      </w:pPr>
      <w:r>
        <w:rPr>
          <w:rFonts w:ascii="Arial" w:eastAsia="Arial" w:hAnsi="Arial" w:cs="Arial"/>
        </w:rPr>
        <w:t>Cumplir con el 60 al 79% de asistencia.</w:t>
      </w:r>
    </w:p>
    <w:p w14:paraId="544F4C72" w14:textId="77777777" w:rsidR="00CF5B2F" w:rsidRDefault="00000000">
      <w:pPr>
        <w:spacing w:after="240"/>
        <w:ind w:left="0" w:hanging="2"/>
        <w:jc w:val="both"/>
        <w:rPr>
          <w:rFonts w:ascii="Arial" w:eastAsia="Arial" w:hAnsi="Arial" w:cs="Arial"/>
          <w:u w:val="single"/>
        </w:rPr>
      </w:pPr>
      <w:r>
        <w:rPr>
          <w:rFonts w:ascii="Arial" w:eastAsia="Arial" w:hAnsi="Arial" w:cs="Arial"/>
          <w:u w:val="single"/>
        </w:rPr>
        <w:t>Promoción sin examen final:</w:t>
      </w:r>
    </w:p>
    <w:p w14:paraId="0134A1E3" w14:textId="77777777" w:rsidR="00CF5B2F" w:rsidRDefault="00000000">
      <w:pPr>
        <w:spacing w:after="240"/>
        <w:ind w:left="0" w:hanging="2"/>
        <w:jc w:val="both"/>
        <w:rPr>
          <w:rFonts w:ascii="Arial" w:eastAsia="Arial" w:hAnsi="Arial" w:cs="Arial"/>
        </w:rPr>
      </w:pPr>
      <w:r>
        <w:rPr>
          <w:rFonts w:ascii="Arial" w:eastAsia="Arial" w:hAnsi="Arial" w:cs="Arial"/>
        </w:rPr>
        <w:t>Aprobar dos parciales con una nota de 7 o más.</w:t>
      </w:r>
    </w:p>
    <w:p w14:paraId="5B33273A" w14:textId="77777777" w:rsidR="00CF5B2F" w:rsidRDefault="00000000">
      <w:pPr>
        <w:spacing w:after="240"/>
        <w:ind w:left="0" w:hanging="2"/>
        <w:jc w:val="both"/>
        <w:rPr>
          <w:rFonts w:ascii="Arial" w:eastAsia="Arial" w:hAnsi="Arial" w:cs="Arial"/>
        </w:rPr>
      </w:pPr>
      <w:r>
        <w:rPr>
          <w:rFonts w:ascii="Arial" w:eastAsia="Arial" w:hAnsi="Arial" w:cs="Arial"/>
        </w:rPr>
        <w:t xml:space="preserve">Aprobar los trabajos prácticos con una nota de 7 o más. </w:t>
      </w:r>
    </w:p>
    <w:p w14:paraId="5474CAE4" w14:textId="77777777" w:rsidR="00CF5B2F" w:rsidRDefault="00000000">
      <w:pPr>
        <w:spacing w:after="240"/>
        <w:ind w:left="0" w:hanging="2"/>
        <w:jc w:val="both"/>
        <w:rPr>
          <w:rFonts w:ascii="Arial" w:eastAsia="Arial" w:hAnsi="Arial" w:cs="Arial"/>
        </w:rPr>
      </w:pPr>
      <w:r>
        <w:rPr>
          <w:rFonts w:ascii="Arial" w:eastAsia="Arial" w:hAnsi="Arial" w:cs="Arial"/>
        </w:rPr>
        <w:t>Cumplir con un mínimo de 80% de asistencia.</w:t>
      </w:r>
    </w:p>
    <w:p w14:paraId="1F986492" w14:textId="77777777" w:rsidR="00CF5B2F" w:rsidRDefault="00000000">
      <w:pPr>
        <w:spacing w:after="240"/>
        <w:ind w:left="0" w:hanging="2"/>
        <w:jc w:val="both"/>
        <w:rPr>
          <w:rFonts w:ascii="Arial" w:eastAsia="Arial" w:hAnsi="Arial" w:cs="Arial"/>
        </w:rPr>
      </w:pPr>
      <w:r>
        <w:rPr>
          <w:rFonts w:ascii="Arial" w:eastAsia="Arial" w:hAnsi="Arial" w:cs="Arial"/>
        </w:rPr>
        <w:t>En caso de que la nota de parcial o trabajo práctico sea entre 4 a 6 puntos, se podrá solicitar rendir la instancia recuperatoria, aspirando a promocionar. En la medida de efectuarse, la nota del recuperatorio ANULA la del trabajo práctico o parcial de la primera instancia (independientemente de cuál haya sido allí la nota).</w:t>
      </w:r>
    </w:p>
    <w:p w14:paraId="3457036A" w14:textId="77777777" w:rsidR="00CF5B2F" w:rsidRDefault="00000000">
      <w:pPr>
        <w:spacing w:after="240"/>
        <w:ind w:left="0" w:hanging="2"/>
        <w:jc w:val="both"/>
        <w:rPr>
          <w:rFonts w:ascii="Arial" w:eastAsia="Arial" w:hAnsi="Arial" w:cs="Arial"/>
        </w:rPr>
      </w:pPr>
      <w:r>
        <w:rPr>
          <w:rFonts w:ascii="Arial" w:eastAsia="Arial" w:hAnsi="Arial" w:cs="Arial"/>
        </w:rPr>
        <w:t>Condiciones para la desaprobación:</w:t>
      </w:r>
    </w:p>
    <w:p w14:paraId="092AD333" w14:textId="77777777" w:rsidR="00CF5B2F" w:rsidRDefault="00000000">
      <w:pPr>
        <w:spacing w:after="240"/>
        <w:ind w:left="0" w:hanging="2"/>
        <w:jc w:val="both"/>
        <w:rPr>
          <w:rFonts w:ascii="Arial" w:eastAsia="Arial" w:hAnsi="Arial" w:cs="Arial"/>
        </w:rPr>
      </w:pPr>
      <w:r>
        <w:rPr>
          <w:rFonts w:ascii="Arial" w:eastAsia="Arial" w:hAnsi="Arial" w:cs="Arial"/>
        </w:rPr>
        <w:t>Obtener una nota de 1 a 3 en cualquiera de las instancias de recuperatorio de parciales o trabajos prácticos.</w:t>
      </w:r>
    </w:p>
    <w:p w14:paraId="4AF50F43" w14:textId="77777777" w:rsidR="00CF5B2F" w:rsidRDefault="00000000">
      <w:pPr>
        <w:spacing w:after="240"/>
        <w:ind w:left="0" w:hanging="2"/>
        <w:jc w:val="both"/>
        <w:rPr>
          <w:rFonts w:ascii="Arial" w:eastAsia="Arial" w:hAnsi="Arial" w:cs="Arial"/>
        </w:rPr>
      </w:pPr>
      <w:r>
        <w:rPr>
          <w:rFonts w:ascii="Arial" w:eastAsia="Arial" w:hAnsi="Arial" w:cs="Arial"/>
        </w:rPr>
        <w:t>Aquellos/as que desaprueben la asignatura, deberán recursar o rendir examen libre.</w:t>
      </w:r>
    </w:p>
    <w:p w14:paraId="36575EF9" w14:textId="77777777" w:rsidR="00CF5B2F" w:rsidRDefault="00000000">
      <w:pPr>
        <w:numPr>
          <w:ilvl w:val="0"/>
          <w:numId w:val="6"/>
        </w:numPr>
        <w:spacing w:after="240"/>
        <w:ind w:left="0" w:hanging="2"/>
        <w:jc w:val="both"/>
        <w:rPr>
          <w:rFonts w:ascii="Arial" w:eastAsia="Arial" w:hAnsi="Arial" w:cs="Arial"/>
        </w:rPr>
      </w:pPr>
      <w:r>
        <w:rPr>
          <w:rFonts w:ascii="Arial" w:eastAsia="Arial" w:hAnsi="Arial" w:cs="Arial"/>
          <w:b/>
        </w:rPr>
        <w:t>ALUMNOS/AS EN CONSICIÒN DE LIBRES</w:t>
      </w:r>
    </w:p>
    <w:p w14:paraId="50E343EF" w14:textId="77777777" w:rsidR="00CF5B2F" w:rsidRDefault="00000000">
      <w:pPr>
        <w:spacing w:after="240"/>
        <w:ind w:left="0" w:hanging="2"/>
        <w:jc w:val="both"/>
        <w:rPr>
          <w:rFonts w:ascii="Arial" w:eastAsia="Arial" w:hAnsi="Arial" w:cs="Arial"/>
        </w:rPr>
      </w:pPr>
      <w:r>
        <w:rPr>
          <w:rFonts w:ascii="Arial" w:eastAsia="Arial" w:hAnsi="Arial" w:cs="Arial"/>
        </w:rPr>
        <w:t>Examen Libre:</w:t>
      </w:r>
    </w:p>
    <w:p w14:paraId="39B1FA9F" w14:textId="77777777" w:rsidR="00CF5B2F" w:rsidRDefault="00000000">
      <w:pPr>
        <w:spacing w:after="240"/>
        <w:ind w:left="0" w:hanging="2"/>
        <w:jc w:val="both"/>
        <w:rPr>
          <w:rFonts w:ascii="Arial" w:eastAsia="Arial" w:hAnsi="Arial" w:cs="Arial"/>
        </w:rPr>
      </w:pPr>
      <w:r>
        <w:rPr>
          <w:rFonts w:ascii="Arial" w:eastAsia="Arial" w:hAnsi="Arial" w:cs="Arial"/>
        </w:rPr>
        <w:t>Deberá ponerse previamente en contacto con el docente vía mail para acordar encuentros personalizados a fin de orientar la bibliografía y las temáticas de cada eje del programa. Rendirá el mismo día en las fechas finales un examen escrito a desarrollar y un examen oral ante comisión evaluadora; deberán aprobar cada uno de ellos. Ambos incluyen todos los contenidos de la asignatura.</w:t>
      </w:r>
    </w:p>
    <w:p w14:paraId="7BE87495" w14:textId="77777777" w:rsidR="00CF5B2F" w:rsidRDefault="00000000">
      <w:pPr>
        <w:numPr>
          <w:ilvl w:val="0"/>
          <w:numId w:val="6"/>
        </w:numPr>
        <w:spacing w:after="240"/>
        <w:ind w:left="0" w:hanging="2"/>
        <w:jc w:val="both"/>
        <w:rPr>
          <w:rFonts w:ascii="Arial" w:eastAsia="Arial" w:hAnsi="Arial" w:cs="Arial"/>
        </w:rPr>
      </w:pPr>
      <w:r>
        <w:rPr>
          <w:rFonts w:ascii="Arial" w:eastAsia="Arial" w:hAnsi="Arial" w:cs="Arial"/>
          <w:b/>
        </w:rPr>
        <w:lastRenderedPageBreak/>
        <w:t>EXAMEN FINAL</w:t>
      </w:r>
    </w:p>
    <w:p w14:paraId="1FCD7BA1" w14:textId="77777777" w:rsidR="00CF5B2F" w:rsidRDefault="00000000">
      <w:pPr>
        <w:spacing w:after="240"/>
        <w:ind w:left="0" w:hanging="2"/>
        <w:jc w:val="both"/>
        <w:rPr>
          <w:rFonts w:ascii="Arial" w:eastAsia="Arial" w:hAnsi="Arial" w:cs="Arial"/>
        </w:rPr>
      </w:pPr>
      <w:r>
        <w:rPr>
          <w:rFonts w:ascii="Arial" w:eastAsia="Arial" w:hAnsi="Arial" w:cs="Arial"/>
        </w:rPr>
        <w:t>El examen final es individual, oral e implica todas las temáticas vistas a lo largo de la cursada. La nota mínima de aprobación es de 4 (cuatro).</w:t>
      </w:r>
    </w:p>
    <w:p w14:paraId="290CA0F0" w14:textId="77777777" w:rsidR="00CF5B2F" w:rsidRDefault="00CF5B2F">
      <w:pPr>
        <w:spacing w:after="240"/>
        <w:ind w:left="0" w:hanging="2"/>
        <w:jc w:val="both"/>
        <w:rPr>
          <w:rFonts w:ascii="Arial" w:eastAsia="Arial" w:hAnsi="Arial" w:cs="Arial"/>
        </w:rPr>
      </w:pPr>
      <w:bookmarkStart w:id="1" w:name="_heading=h.30j0zll" w:colFirst="0" w:colLast="0"/>
      <w:bookmarkEnd w:id="1"/>
    </w:p>
    <w:p w14:paraId="6486DBAC" w14:textId="77777777" w:rsidR="00CF5B2F" w:rsidRDefault="00CF5B2F">
      <w:pPr>
        <w:ind w:left="0" w:hanging="2"/>
        <w:jc w:val="both"/>
        <w:rPr>
          <w:rFonts w:ascii="Arial" w:eastAsia="Arial" w:hAnsi="Arial" w:cs="Arial"/>
        </w:rPr>
      </w:pPr>
    </w:p>
    <w:sectPr w:rsidR="00CF5B2F">
      <w:footerReference w:type="default" r:id="rId9"/>
      <w:pgSz w:w="11905" w:h="16837"/>
      <w:pgMar w:top="1418" w:right="1418" w:bottom="1418" w:left="1418"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BCF5D" w14:textId="77777777" w:rsidR="00445531" w:rsidRDefault="00445531">
      <w:pPr>
        <w:spacing w:line="240" w:lineRule="auto"/>
        <w:ind w:left="0" w:hanging="2"/>
      </w:pPr>
      <w:r>
        <w:separator/>
      </w:r>
    </w:p>
  </w:endnote>
  <w:endnote w:type="continuationSeparator" w:id="0">
    <w:p w14:paraId="1DB0DC66" w14:textId="77777777" w:rsidR="00445531" w:rsidRDefault="0044553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B5B7BE-E610-4690-A71A-FE173050FE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Bold r:id="rId2" w:fontKey="{6461FA2B-6E26-4F3A-82AB-C53F1B025471}"/>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3" w:fontKey="{5E8EF2BE-DC33-42CA-AB03-BE1A5BA0810A}"/>
  </w:font>
  <w:font w:name="Helvetica">
    <w:panose1 w:val="020B0604020202020204"/>
    <w:charset w:val="00"/>
    <w:family w:val="auto"/>
    <w:pitch w:val="variable"/>
    <w:sig w:usb0="E00002FF" w:usb1="5000785B" w:usb2="00000000" w:usb3="00000000" w:csb0="0000019F" w:csb1="00000000"/>
    <w:embedRegular r:id="rId4" w:fontKey="{A72DC9F2-F847-4DC3-BEC3-764F2B7E7E8B}"/>
  </w:font>
  <w:font w:name="HG Mincho Light J">
    <w:panose1 w:val="00000000000000000000"/>
    <w:charset w:val="00"/>
    <w:family w:val="roman"/>
    <w:notTrueType/>
    <w:pitch w:val="default"/>
  </w:font>
  <w:font w:name="Lucidasans">
    <w:panose1 w:val="00000000000000000000"/>
    <w:charset w:val="00"/>
    <w:family w:val="roman"/>
    <w:notTrueType/>
    <w:pitch w:val="default"/>
  </w:font>
  <w:font w:name="Times">
    <w:panose1 w:val="02020603050405020304"/>
    <w:charset w:val="00"/>
    <w:family w:val="roman"/>
    <w:notTrueType/>
    <w:pitch w:val="default"/>
    <w:embedRegular r:id="rId5" w:fontKey="{D62CDDBE-E289-4A32-984B-4DEDCAF9047E}"/>
    <w:embedItalic r:id="rId6" w:fontKey="{CB8F1FB4-DB53-4E70-9E42-C3FAC1CDD340}"/>
  </w:font>
  <w:font w:name="Verdana">
    <w:panose1 w:val="020B0604030504040204"/>
    <w:charset w:val="00"/>
    <w:family w:val="swiss"/>
    <w:pitch w:val="variable"/>
    <w:sig w:usb0="A00006FF" w:usb1="4000205B" w:usb2="00000010" w:usb3="00000000" w:csb0="0000019F" w:csb1="00000000"/>
    <w:embedRegular r:id="rId7" w:fontKey="{3A0640FB-F797-498B-A0F5-8EEB2AAFF3AA}"/>
  </w:font>
  <w:font w:name="Tahoma">
    <w:panose1 w:val="020B0604030504040204"/>
    <w:charset w:val="00"/>
    <w:family w:val="swiss"/>
    <w:pitch w:val="variable"/>
    <w:sig w:usb0="E1002EFF" w:usb1="C000605B" w:usb2="00000029" w:usb3="00000000" w:csb0="000101FF" w:csb1="00000000"/>
    <w:embedRegular r:id="rId8" w:fontKey="{CEE7AF7C-537B-4F48-BF32-F073E64BEF62}"/>
  </w:font>
  <w:font w:name="AvantGarde Md B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9" w:fontKey="{BD67FFE8-F490-43A2-A290-F36A2A6642B5}"/>
  </w:font>
  <w:font w:name="Georgia">
    <w:panose1 w:val="02040502050405020303"/>
    <w:charset w:val="00"/>
    <w:family w:val="roman"/>
    <w:pitch w:val="variable"/>
    <w:sig w:usb0="00000287" w:usb1="00000000" w:usb2="00000000" w:usb3="00000000" w:csb0="0000009F" w:csb1="00000000"/>
    <w:embedRegular r:id="rId10" w:fontKey="{96EA5839-8CBE-4FD9-A800-9F68183C9B78}"/>
    <w:embedItalic r:id="rId11" w:fontKey="{3EB8B484-F1F9-4752-954F-EAFBC7710704}"/>
  </w:font>
  <w:font w:name="Cambria">
    <w:panose1 w:val="02040503050406030204"/>
    <w:charset w:val="00"/>
    <w:family w:val="roman"/>
    <w:pitch w:val="variable"/>
    <w:sig w:usb0="E00006FF" w:usb1="420024FF" w:usb2="02000000" w:usb3="00000000" w:csb0="0000019F" w:csb1="00000000"/>
    <w:embedRegular r:id="rId12" w:fontKey="{40A9AB49-7E87-4CD4-BBF8-FCE8498EEB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B5085" w14:textId="77777777" w:rsidR="00CF5B2F" w:rsidRDefault="00000000">
    <w:pPr>
      <w:pBdr>
        <w:top w:val="nil"/>
        <w:left w:val="nil"/>
        <w:bottom w:val="nil"/>
        <w:right w:val="nil"/>
        <w:between w:val="nil"/>
      </w:pBdr>
      <w:tabs>
        <w:tab w:val="center" w:pos="4419"/>
        <w:tab w:val="right" w:pos="8838"/>
      </w:tabs>
      <w:spacing w:line="240" w:lineRule="auto"/>
      <w:ind w:left="0" w:hanging="2"/>
      <w:rPr>
        <w:color w:val="000000"/>
      </w:rPr>
    </w:pPr>
    <w:r>
      <w:rPr>
        <w:rFonts w:ascii="Comic Sans MS" w:eastAsia="Comic Sans MS" w:hAnsi="Comic Sans MS" w:cs="Comic Sans MS"/>
        <w:color w:val="000000"/>
      </w:rPr>
      <w:tab/>
      <w:t xml:space="preserve">  </w:t>
    </w:r>
    <w:r>
      <w:rPr>
        <w:color w:val="000000"/>
      </w:rPr>
      <w:fldChar w:fldCharType="begin"/>
    </w:r>
    <w:r>
      <w:rPr>
        <w:color w:val="000000"/>
      </w:rPr>
      <w:instrText>PAGE</w:instrText>
    </w:r>
    <w:r>
      <w:rPr>
        <w:color w:val="000000"/>
      </w:rPr>
      <w:fldChar w:fldCharType="separate"/>
    </w:r>
    <w:r w:rsidR="005E2C3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1C7FF" w14:textId="77777777" w:rsidR="00445531" w:rsidRDefault="00445531">
      <w:pPr>
        <w:spacing w:line="240" w:lineRule="auto"/>
        <w:ind w:left="0" w:hanging="2"/>
      </w:pPr>
      <w:r>
        <w:separator/>
      </w:r>
    </w:p>
  </w:footnote>
  <w:footnote w:type="continuationSeparator" w:id="0">
    <w:p w14:paraId="6364EDF6" w14:textId="77777777" w:rsidR="00445531" w:rsidRDefault="00445531">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0DBA"/>
    <w:multiLevelType w:val="multilevel"/>
    <w:tmpl w:val="8976D9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9C108A"/>
    <w:multiLevelType w:val="multilevel"/>
    <w:tmpl w:val="5666F2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9266A7A"/>
    <w:multiLevelType w:val="multilevel"/>
    <w:tmpl w:val="441674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pStyle w:val="Ttulo2"/>
      <w:lvlText w:val="o"/>
      <w:lvlJc w:val="left"/>
      <w:pPr>
        <w:ind w:left="1440" w:hanging="360"/>
      </w:pPr>
      <w:rPr>
        <w:rFonts w:ascii="Courier New" w:eastAsia="Courier New" w:hAnsi="Courier New" w:cs="Courier New"/>
        <w:vertAlign w:val="baseline"/>
      </w:rPr>
    </w:lvl>
    <w:lvl w:ilvl="2">
      <w:start w:val="1"/>
      <w:numFmt w:val="bullet"/>
      <w:pStyle w:val="Ttulo3"/>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F202398"/>
    <w:multiLevelType w:val="multilevel"/>
    <w:tmpl w:val="6EC4E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21D3A66"/>
    <w:multiLevelType w:val="multilevel"/>
    <w:tmpl w:val="167CD6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3D93C02"/>
    <w:multiLevelType w:val="multilevel"/>
    <w:tmpl w:val="CBF89B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67460358">
    <w:abstractNumId w:val="2"/>
  </w:num>
  <w:num w:numId="2" w16cid:durableId="836264058">
    <w:abstractNumId w:val="5"/>
  </w:num>
  <w:num w:numId="3" w16cid:durableId="1187787482">
    <w:abstractNumId w:val="3"/>
  </w:num>
  <w:num w:numId="4" w16cid:durableId="1369260794">
    <w:abstractNumId w:val="0"/>
  </w:num>
  <w:num w:numId="5" w16cid:durableId="421880863">
    <w:abstractNumId w:val="4"/>
  </w:num>
  <w:num w:numId="6" w16cid:durableId="365103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B2F"/>
    <w:rsid w:val="00445531"/>
    <w:rsid w:val="005C3A3A"/>
    <w:rsid w:val="005E2C31"/>
    <w:rsid w:val="00CF5B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9925B"/>
  <w15:docId w15:val="{A2CFB8F6-2296-46D6-9342-33A04E8C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basedOn w:val="Normal"/>
    <w:next w:val="Normal"/>
    <w:uiPriority w:val="9"/>
    <w:qFormat/>
    <w:pPr>
      <w:keepNext/>
      <w:spacing w:before="240" w:after="60"/>
    </w:pPr>
    <w:rPr>
      <w:rFonts w:ascii="Aptos Display" w:hAnsi="Aptos Display"/>
      <w:b/>
      <w:bCs/>
      <w:kern w:val="32"/>
      <w:sz w:val="32"/>
      <w:szCs w:val="32"/>
    </w:rPr>
  </w:style>
  <w:style w:type="paragraph" w:styleId="Ttulo2">
    <w:name w:val="heading 2"/>
    <w:basedOn w:val="Normal"/>
    <w:next w:val="Normal"/>
    <w:uiPriority w:val="9"/>
    <w:semiHidden/>
    <w:unhideWhenUsed/>
    <w:qFormat/>
    <w:pPr>
      <w:keepNext/>
      <w:numPr>
        <w:ilvl w:val="1"/>
        <w:numId w:val="1"/>
      </w:numPr>
      <w:ind w:left="-1" w:hanging="1"/>
      <w:outlineLvl w:val="1"/>
    </w:pPr>
    <w:rPr>
      <w:sz w:val="24"/>
      <w:lang w:val="es-MX"/>
    </w:rPr>
  </w:style>
  <w:style w:type="paragraph" w:styleId="Ttulo3">
    <w:name w:val="heading 3"/>
    <w:basedOn w:val="Normal"/>
    <w:next w:val="Normal"/>
    <w:uiPriority w:val="9"/>
    <w:semiHidden/>
    <w:unhideWhenUsed/>
    <w:qFormat/>
    <w:pPr>
      <w:keepNext/>
      <w:numPr>
        <w:ilvl w:val="2"/>
        <w:numId w:val="1"/>
      </w:numPr>
      <w:ind w:left="-1" w:hanging="1"/>
      <w:outlineLvl w:val="2"/>
    </w:pPr>
    <w:rPr>
      <w:rFonts w:ascii="Arial" w:eastAsia="Arial Unicode MS" w:hAnsi="Arial"/>
    </w:rPr>
  </w:style>
  <w:style w:type="paragraph" w:styleId="Ttulo4">
    <w:name w:val="heading 4"/>
    <w:basedOn w:val="Normal"/>
    <w:next w:val="Normal"/>
    <w:uiPriority w:val="9"/>
    <w:semiHidden/>
    <w:unhideWhenUsed/>
    <w:qFormat/>
    <w:pPr>
      <w:keepNext/>
      <w:shd w:val="clear" w:color="auto" w:fill="E6E6E6"/>
      <w:suppressAutoHyphens/>
      <w:spacing w:before="227" w:after="227"/>
      <w:outlineLvl w:val="3"/>
    </w:pPr>
    <w:rPr>
      <w:b/>
      <w:bCs/>
      <w:color w:val="00000A"/>
      <w:sz w:val="30"/>
      <w:szCs w:val="24"/>
      <w:lang w:eastAsia="zh-CN" w:bidi="hi-IN"/>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Wingdings" w:hAnsi="Wingdings"/>
      <w:w w:val="100"/>
      <w:position w:val="-1"/>
      <w:effect w:val="none"/>
      <w:vertAlign w:val="baseline"/>
      <w:cs w:val="0"/>
      <w:em w:val="none"/>
    </w:rPr>
  </w:style>
  <w:style w:type="character" w:customStyle="1" w:styleId="WW8Num2z0">
    <w:name w:val="WW8Num2z0"/>
    <w:rPr>
      <w:rFonts w:ascii="Wingdings" w:hAnsi="Wingdings"/>
      <w:w w:val="100"/>
      <w:position w:val="-1"/>
      <w:effect w:val="none"/>
      <w:vertAlign w:val="baseline"/>
      <w:cs w:val="0"/>
      <w:em w:val="none"/>
    </w:rPr>
  </w:style>
  <w:style w:type="character" w:customStyle="1" w:styleId="WW8Num2z1">
    <w:name w:val="WW8Num2z1"/>
    <w:rPr>
      <w:rFonts w:ascii="Courier New" w:hAnsi="Courier New"/>
      <w:w w:val="100"/>
      <w:position w:val="-1"/>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4z0">
    <w:name w:val="WW8Num4z0"/>
    <w:rPr>
      <w:rFonts w:ascii="Wingdings" w:hAnsi="Wingdings"/>
      <w:w w:val="100"/>
      <w:position w:val="-1"/>
      <w:sz w:val="24"/>
      <w:effect w:val="none"/>
      <w:vertAlign w:val="baseline"/>
      <w:cs w:val="0"/>
      <w:em w:val="none"/>
    </w:rPr>
  </w:style>
  <w:style w:type="character" w:customStyle="1" w:styleId="WW8Num5z0">
    <w:name w:val="WW8Num5z0"/>
    <w:rPr>
      <w:b w:val="0"/>
      <w:w w:val="100"/>
      <w:position w:val="-1"/>
      <w:effect w:val="none"/>
      <w:vertAlign w:val="baseline"/>
      <w:cs w:val="0"/>
      <w:em w:val="none"/>
    </w:rPr>
  </w:style>
  <w:style w:type="character" w:customStyle="1" w:styleId="WW8Num6z0">
    <w:name w:val="WW8Num6z0"/>
    <w:rPr>
      <w:rFonts w:ascii="Wingdings" w:hAnsi="Wingdings"/>
      <w:w w:val="100"/>
      <w:position w:val="-1"/>
      <w:effect w:val="none"/>
      <w:vertAlign w:val="baseline"/>
      <w:cs w:val="0"/>
      <w:em w:val="none"/>
    </w:rPr>
  </w:style>
  <w:style w:type="character" w:customStyle="1" w:styleId="WW8Num7z0">
    <w:name w:val="WW8Num7z0"/>
    <w:rPr>
      <w:rFonts w:ascii="Times New Roman" w:hAnsi="Times New Roman" w:cs="Times New Roman"/>
      <w:w w:val="100"/>
      <w:position w:val="-1"/>
      <w:effect w:val="none"/>
      <w:vertAlign w:val="baseline"/>
      <w:cs w:val="0"/>
      <w:em w:val="none"/>
    </w:rPr>
  </w:style>
  <w:style w:type="character" w:customStyle="1" w:styleId="WW8Num9z0">
    <w:name w:val="WW8Num9z0"/>
    <w:rPr>
      <w:rFonts w:ascii="Wingdings" w:hAnsi="Wingdings"/>
      <w:w w:val="100"/>
      <w:position w:val="-1"/>
      <w:effect w:val="none"/>
      <w:vertAlign w:val="baseline"/>
      <w:cs w:val="0"/>
      <w:em w:val="none"/>
    </w:rPr>
  </w:style>
  <w:style w:type="character" w:customStyle="1" w:styleId="WW8Num10z0">
    <w:name w:val="WW8Num10z0"/>
    <w:rPr>
      <w:rFonts w:ascii="Wingdings" w:hAnsi="Wingdings"/>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3z0">
    <w:name w:val="WW8Num13z0"/>
    <w:rPr>
      <w:rFonts w:ascii="Wingdings" w:hAnsi="Wingdings"/>
      <w:w w:val="100"/>
      <w:position w:val="-1"/>
      <w:sz w:val="24"/>
      <w:effect w:val="none"/>
      <w:vertAlign w:val="baseline"/>
      <w:cs w:val="0"/>
      <w:em w:val="none"/>
    </w:rPr>
  </w:style>
  <w:style w:type="character" w:customStyle="1" w:styleId="WW8Num14z0">
    <w:name w:val="WW8Num14z0"/>
    <w:rPr>
      <w:rFonts w:ascii="Comic Sans MS" w:hAnsi="Comic Sans MS"/>
      <w:w w:val="100"/>
      <w:position w:val="-1"/>
      <w:effect w:val="none"/>
      <w:vertAlign w:val="baseline"/>
      <w:cs w:val="0"/>
      <w:em w:val="none"/>
    </w:rPr>
  </w:style>
  <w:style w:type="character" w:customStyle="1" w:styleId="WW8Num15z0">
    <w:name w:val="WW8Num15z0"/>
    <w:rPr>
      <w:rFonts w:ascii="Wingdings" w:hAnsi="Wingdings"/>
      <w:w w:val="100"/>
      <w:position w:val="-1"/>
      <w:sz w:val="24"/>
      <w:effect w:val="none"/>
      <w:vertAlign w:val="baseline"/>
      <w:cs w:val="0"/>
      <w:em w:val="none"/>
    </w:rPr>
  </w:style>
  <w:style w:type="character" w:customStyle="1" w:styleId="WW8Num17z0">
    <w:name w:val="WW8Num17z0"/>
    <w:rPr>
      <w:rFonts w:ascii="Wingdings" w:hAnsi="Wingdings"/>
      <w:w w:val="100"/>
      <w:position w:val="-1"/>
      <w:effect w:val="none"/>
      <w:vertAlign w:val="baseline"/>
      <w:cs w:val="0"/>
      <w:em w:val="none"/>
    </w:rPr>
  </w:style>
  <w:style w:type="character" w:customStyle="1" w:styleId="WW8Num17z1">
    <w:name w:val="WW8Num17z1"/>
    <w:rPr>
      <w:rFonts w:ascii="Symbol" w:hAnsi="Symbol"/>
      <w:w w:val="100"/>
      <w:position w:val="-1"/>
      <w:effect w:val="none"/>
      <w:vertAlign w:val="baseline"/>
      <w:cs w:val="0"/>
      <w:em w:val="none"/>
    </w:rPr>
  </w:style>
  <w:style w:type="character" w:customStyle="1" w:styleId="WW8Num17z4">
    <w:name w:val="WW8Num17z4"/>
    <w:rPr>
      <w:rFonts w:ascii="Courier New" w:hAnsi="Courier New"/>
      <w:w w:val="100"/>
      <w:position w:val="-1"/>
      <w:effect w:val="none"/>
      <w:vertAlign w:val="baseline"/>
      <w:cs w:val="0"/>
      <w:em w:val="none"/>
    </w:rPr>
  </w:style>
  <w:style w:type="character" w:customStyle="1" w:styleId="WW8Num18z0">
    <w:name w:val="WW8Num18z0"/>
    <w:rPr>
      <w:rFonts w:ascii="Wingdings" w:hAnsi="Wingdings"/>
      <w:w w:val="100"/>
      <w:position w:val="-1"/>
      <w:effect w:val="none"/>
      <w:vertAlign w:val="baseline"/>
      <w:cs w:val="0"/>
      <w:em w:val="none"/>
    </w:rPr>
  </w:style>
  <w:style w:type="character" w:customStyle="1" w:styleId="WW8Num19z0">
    <w:name w:val="WW8Num19z0"/>
    <w:rPr>
      <w:rFonts w:ascii="Wingdings" w:hAnsi="Wingdings"/>
      <w:w w:val="100"/>
      <w:position w:val="-1"/>
      <w:effect w:val="none"/>
      <w:vertAlign w:val="baseline"/>
      <w:cs w:val="0"/>
      <w:em w:val="none"/>
    </w:rPr>
  </w:style>
  <w:style w:type="character" w:customStyle="1" w:styleId="WW8Num19z1">
    <w:name w:val="WW8Num19z1"/>
    <w:rPr>
      <w:rFonts w:ascii="Courier New" w:hAnsi="Courier New"/>
      <w:w w:val="100"/>
      <w:position w:val="-1"/>
      <w:effect w:val="none"/>
      <w:vertAlign w:val="baseline"/>
      <w:cs w:val="0"/>
      <w:em w:val="none"/>
    </w:rPr>
  </w:style>
  <w:style w:type="character" w:customStyle="1" w:styleId="WW8Num19z3">
    <w:name w:val="WW8Num19z3"/>
    <w:rPr>
      <w:rFonts w:ascii="Symbol" w:hAnsi="Symbol"/>
      <w:w w:val="100"/>
      <w:position w:val="-1"/>
      <w:effect w:val="none"/>
      <w:vertAlign w:val="baseline"/>
      <w:cs w:val="0"/>
      <w:em w:val="none"/>
    </w:rPr>
  </w:style>
  <w:style w:type="character" w:customStyle="1" w:styleId="WW8Num21z0">
    <w:name w:val="WW8Num21z0"/>
    <w:rPr>
      <w:rFonts w:ascii="Wingdings" w:hAnsi="Wingdings"/>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3">
    <w:name w:val="WW8Num21z3"/>
    <w:rPr>
      <w:rFonts w:ascii="Symbol" w:hAnsi="Symbol"/>
      <w:w w:val="100"/>
      <w:position w:val="-1"/>
      <w:effect w:val="none"/>
      <w:vertAlign w:val="baseline"/>
      <w:cs w:val="0"/>
      <w:em w:val="none"/>
    </w:rPr>
  </w:style>
  <w:style w:type="character" w:customStyle="1" w:styleId="WW8Num22z0">
    <w:name w:val="WW8Num22z0"/>
    <w:rPr>
      <w:rFonts w:ascii="Wingdings" w:hAnsi="Wingdings"/>
      <w:w w:val="100"/>
      <w:position w:val="-1"/>
      <w:effect w:val="none"/>
      <w:vertAlign w:val="baseline"/>
      <w:cs w:val="0"/>
      <w:em w:val="none"/>
    </w:rPr>
  </w:style>
  <w:style w:type="character" w:customStyle="1" w:styleId="WW8Num23z0">
    <w:name w:val="WW8Num23z0"/>
    <w:rPr>
      <w:rFonts w:ascii="Wingdings" w:hAnsi="Wingdings"/>
      <w:w w:val="100"/>
      <w:position w:val="-1"/>
      <w:effect w:val="none"/>
      <w:vertAlign w:val="baseline"/>
      <w:cs w:val="0"/>
      <w:em w:val="none"/>
    </w:rPr>
  </w:style>
  <w:style w:type="character" w:customStyle="1" w:styleId="WW8Num24z0">
    <w:name w:val="WW8Num24z0"/>
    <w:rPr>
      <w:rFonts w:ascii="Wingdings" w:hAnsi="Wingdings"/>
      <w:w w:val="100"/>
      <w:position w:val="-1"/>
      <w:effect w:val="none"/>
      <w:vertAlign w:val="baseline"/>
      <w:cs w:val="0"/>
      <w:em w:val="none"/>
    </w:rPr>
  </w:style>
  <w:style w:type="character" w:customStyle="1" w:styleId="WW8Num25z0">
    <w:name w:val="WW8Num25z0"/>
    <w:rPr>
      <w:rFonts w:ascii="Wingdings" w:hAnsi="Wingdings"/>
      <w:w w:val="100"/>
      <w:position w:val="-1"/>
      <w:effect w:val="none"/>
      <w:vertAlign w:val="baseline"/>
      <w:cs w:val="0"/>
      <w:em w:val="none"/>
    </w:rPr>
  </w:style>
  <w:style w:type="character" w:customStyle="1" w:styleId="WW8Num25z1">
    <w:name w:val="WW8Num25z1"/>
    <w:rPr>
      <w:rFonts w:ascii="Courier New" w:hAnsi="Courier New"/>
      <w:w w:val="100"/>
      <w:position w:val="-1"/>
      <w:effect w:val="none"/>
      <w:vertAlign w:val="baseline"/>
      <w:cs w:val="0"/>
      <w:em w:val="none"/>
    </w:rPr>
  </w:style>
  <w:style w:type="character" w:customStyle="1" w:styleId="WW8Num25z3">
    <w:name w:val="WW8Num25z3"/>
    <w:rPr>
      <w:rFonts w:ascii="Symbol" w:hAnsi="Symbol"/>
      <w:w w:val="100"/>
      <w:position w:val="-1"/>
      <w:effect w:val="none"/>
      <w:vertAlign w:val="baseline"/>
      <w:cs w:val="0"/>
      <w:em w:val="none"/>
    </w:rPr>
  </w:style>
  <w:style w:type="character" w:customStyle="1" w:styleId="WW8Num26z0">
    <w:name w:val="WW8Num26z0"/>
    <w:rPr>
      <w:rFonts w:ascii="Wingdings" w:hAnsi="Wingdings"/>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Wingdings" w:hAnsi="Wingdings"/>
      <w:w w:val="100"/>
      <w:position w:val="-1"/>
      <w:effect w:val="none"/>
      <w:vertAlign w:val="baseline"/>
      <w:cs w:val="0"/>
      <w:em w:val="none"/>
    </w:rPr>
  </w:style>
  <w:style w:type="character" w:customStyle="1" w:styleId="WW8Num30z1">
    <w:name w:val="WW8Num30z1"/>
    <w:rPr>
      <w:rFonts w:ascii="Courier New" w:hAnsi="Courier New"/>
      <w:w w:val="100"/>
      <w:position w:val="-1"/>
      <w:effect w:val="none"/>
      <w:vertAlign w:val="baseline"/>
      <w:cs w:val="0"/>
      <w:em w:val="none"/>
    </w:rPr>
  </w:style>
  <w:style w:type="character" w:customStyle="1" w:styleId="WW8Num30z3">
    <w:name w:val="WW8Num30z3"/>
    <w:rPr>
      <w:rFonts w:ascii="Symbol" w:hAnsi="Symbol"/>
      <w:w w:val="100"/>
      <w:position w:val="-1"/>
      <w:effect w:val="none"/>
      <w:vertAlign w:val="baseline"/>
      <w:cs w:val="0"/>
      <w:em w:val="none"/>
    </w:rPr>
  </w:style>
  <w:style w:type="character" w:customStyle="1" w:styleId="WW8Num31z0">
    <w:name w:val="WW8Num31z0"/>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Times New Roman" w:hAnsi="Times New Roman"/>
      <w:w w:val="100"/>
      <w:position w:val="-1"/>
      <w:effect w:val="none"/>
      <w:vertAlign w:val="baseline"/>
      <w:cs w:val="0"/>
      <w:em w:val="none"/>
    </w:rPr>
  </w:style>
  <w:style w:type="character" w:customStyle="1" w:styleId="WW8Num34z0">
    <w:name w:val="WW8Num34z0"/>
    <w:rPr>
      <w:rFonts w:ascii="Wingdings" w:hAnsi="Wingdings"/>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5z0">
    <w:name w:val="WW8Num35z0"/>
    <w:rPr>
      <w:rFonts w:ascii="Wingdings" w:hAnsi="Wingdings"/>
      <w:w w:val="100"/>
      <w:position w:val="-1"/>
      <w:effect w:val="none"/>
      <w:vertAlign w:val="baseline"/>
      <w:cs w:val="0"/>
      <w:em w:val="none"/>
    </w:rPr>
  </w:style>
  <w:style w:type="character" w:customStyle="1" w:styleId="WW8Num35z1">
    <w:name w:val="WW8Num35z1"/>
    <w:rPr>
      <w:rFonts w:ascii="Courier New" w:hAnsi="Courier New"/>
      <w:w w:val="100"/>
      <w:position w:val="-1"/>
      <w:effect w:val="none"/>
      <w:vertAlign w:val="baseline"/>
      <w:cs w:val="0"/>
      <w:em w:val="none"/>
    </w:rPr>
  </w:style>
  <w:style w:type="character" w:customStyle="1" w:styleId="WW8Num35z3">
    <w:name w:val="WW8Num35z3"/>
    <w:rPr>
      <w:rFonts w:ascii="Symbol" w:hAnsi="Symbol"/>
      <w:w w:val="100"/>
      <w:position w:val="-1"/>
      <w:effect w:val="none"/>
      <w:vertAlign w:val="baseline"/>
      <w:cs w:val="0"/>
      <w:em w:val="none"/>
    </w:rPr>
  </w:style>
  <w:style w:type="character" w:customStyle="1" w:styleId="WW8Num36z0">
    <w:name w:val="WW8Num36z0"/>
    <w:rPr>
      <w:rFonts w:ascii="Wingdings" w:hAnsi="Wingdings"/>
      <w:w w:val="100"/>
      <w:position w:val="-1"/>
      <w:effect w:val="none"/>
      <w:vertAlign w:val="baseline"/>
      <w:cs w:val="0"/>
      <w:em w:val="none"/>
    </w:rPr>
  </w:style>
  <w:style w:type="character" w:customStyle="1" w:styleId="WW8Num36z1">
    <w:name w:val="WW8Num36z1"/>
    <w:rPr>
      <w:rFonts w:ascii="Courier New" w:hAnsi="Courier New"/>
      <w:w w:val="100"/>
      <w:position w:val="-1"/>
      <w:effect w:val="none"/>
      <w:vertAlign w:val="baseline"/>
      <w:cs w:val="0"/>
      <w:em w:val="none"/>
    </w:rPr>
  </w:style>
  <w:style w:type="character" w:customStyle="1" w:styleId="WW8Num36z3">
    <w:name w:val="WW8Num36z3"/>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Times New Roman" w:eastAsia="Times New Roman" w:hAnsi="Times New Roman" w:cs="Times New Roman"/>
      <w:w w:val="100"/>
      <w:position w:val="-1"/>
      <w:effect w:val="none"/>
      <w:vertAlign w:val="baseline"/>
      <w:cs w:val="0"/>
      <w:em w:val="none"/>
    </w:rPr>
  </w:style>
  <w:style w:type="character" w:customStyle="1" w:styleId="WW8Num40z0">
    <w:name w:val="WW8Num40z0"/>
    <w:rPr>
      <w:rFonts w:ascii="Times New Roman" w:hAnsi="Times New Roman" w:cs="Times New Roman"/>
      <w:w w:val="100"/>
      <w:position w:val="-1"/>
      <w:effect w:val="none"/>
      <w:vertAlign w:val="baseline"/>
      <w:cs w:val="0"/>
      <w:em w:val="none"/>
    </w:rPr>
  </w:style>
  <w:style w:type="character" w:customStyle="1" w:styleId="WW8Num41z0">
    <w:name w:val="WW8Num41z0"/>
    <w:rPr>
      <w:rFonts w:ascii="Wingdings" w:hAnsi="Wingdings"/>
      <w:w w:val="100"/>
      <w:position w:val="-1"/>
      <w:effect w:val="none"/>
      <w:vertAlign w:val="baseline"/>
      <w:cs w:val="0"/>
      <w:em w:val="none"/>
    </w:rPr>
  </w:style>
  <w:style w:type="character" w:customStyle="1" w:styleId="WW8Num42z0">
    <w:name w:val="WW8Num42z0"/>
    <w:rPr>
      <w:rFonts w:ascii="Wingdings" w:hAnsi="Wingdings"/>
      <w:w w:val="100"/>
      <w:position w:val="-1"/>
      <w:effect w:val="none"/>
      <w:vertAlign w:val="baseline"/>
      <w:cs w:val="0"/>
      <w:em w:val="none"/>
    </w:rPr>
  </w:style>
  <w:style w:type="character" w:customStyle="1" w:styleId="WW8Num43z0">
    <w:name w:val="WW8Num43z0"/>
    <w:rPr>
      <w:rFonts w:ascii="Wingdings" w:hAnsi="Wingdings"/>
      <w:w w:val="100"/>
      <w:position w:val="-1"/>
      <w:effect w:val="none"/>
      <w:vertAlign w:val="baseline"/>
      <w:cs w:val="0"/>
      <w:em w:val="none"/>
    </w:rPr>
  </w:style>
  <w:style w:type="character" w:customStyle="1" w:styleId="WW8Num44z0">
    <w:name w:val="WW8Num44z0"/>
    <w:rPr>
      <w:rFonts w:ascii="Wingdings" w:hAnsi="Wingdings"/>
      <w:b w:val="0"/>
      <w:i w:val="0"/>
      <w:w w:val="100"/>
      <w:position w:val="-1"/>
      <w:sz w:val="24"/>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styleId="Nmerodepgina">
    <w:name w:val="page number"/>
    <w:basedOn w:val="Fuentedeprrafopredeter1"/>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customStyle="1" w:styleId="Smbolodenotaalpie">
    <w:name w:val="Símbolo de nota al pie"/>
    <w:rPr>
      <w:w w:val="100"/>
      <w:position w:val="-1"/>
      <w:effect w:val="none"/>
      <w:vertAlign w:val="superscript"/>
      <w:cs w:val="0"/>
      <w:em w:val="none"/>
    </w:rPr>
  </w:style>
  <w:style w:type="character" w:styleId="MquinadeescribirHTML">
    <w:name w:val="HTML Typewriter"/>
    <w:rPr>
      <w:rFonts w:ascii="Courier New" w:eastAsia="Courier New" w:hAnsi="Courier New" w:cs="Courier New"/>
      <w:w w:val="100"/>
      <w:position w:val="-1"/>
      <w:sz w:val="20"/>
      <w:szCs w:val="20"/>
      <w:effect w:val="none"/>
      <w:vertAlign w:val="baseline"/>
      <w:cs w:val="0"/>
      <w:em w:val="none"/>
    </w:rPr>
  </w:style>
  <w:style w:type="paragraph" w:customStyle="1" w:styleId="Encabezado1">
    <w:name w:val="Encabezado1"/>
    <w:basedOn w:val="Normal"/>
    <w:next w:val="Textoindependiente"/>
    <w:pPr>
      <w:keepNext/>
      <w:spacing w:before="240" w:after="120"/>
    </w:pPr>
    <w:rPr>
      <w:rFonts w:ascii="Helvetica" w:eastAsia="HG Mincho Light J" w:hAnsi="Helvetica" w:cs="Lucidasans"/>
      <w:sz w:val="28"/>
      <w:szCs w:val="28"/>
    </w:rPr>
  </w:style>
  <w:style w:type="paragraph" w:styleId="Textoindependiente">
    <w:name w:val="Body Text"/>
    <w:basedOn w:val="Normal"/>
    <w:rPr>
      <w:sz w:val="24"/>
    </w:rPr>
  </w:style>
  <w:style w:type="paragraph" w:styleId="Lista">
    <w:name w:val="List"/>
    <w:basedOn w:val="Textoindependiente"/>
    <w:rPr>
      <w:rFonts w:ascii="Times" w:hAnsi="Times" w:cs="Lucidasans"/>
    </w:rPr>
  </w:style>
  <w:style w:type="paragraph" w:customStyle="1" w:styleId="Etiqueta">
    <w:name w:val="Etiqueta"/>
    <w:basedOn w:val="Normal"/>
    <w:pPr>
      <w:suppressLineNumbers/>
      <w:spacing w:before="120" w:after="120"/>
    </w:pPr>
    <w:rPr>
      <w:rFonts w:ascii="Times" w:hAnsi="Times" w:cs="Lucidasans"/>
      <w:i/>
      <w:iCs/>
      <w:sz w:val="24"/>
      <w:szCs w:val="24"/>
    </w:rPr>
  </w:style>
  <w:style w:type="paragraph" w:customStyle="1" w:styleId="ndice">
    <w:name w:val="Índice"/>
    <w:basedOn w:val="Normal"/>
    <w:pPr>
      <w:suppressLineNumbers/>
    </w:pPr>
    <w:rPr>
      <w:rFonts w:ascii="Times" w:hAnsi="Times" w:cs="Lucidasans"/>
    </w:rPr>
  </w:style>
  <w:style w:type="paragraph" w:styleId="Sangradetextonormal">
    <w:name w:val="Body Text Indent"/>
    <w:basedOn w:val="Normal"/>
    <w:pPr>
      <w:jc w:val="both"/>
    </w:pPr>
    <w:rPr>
      <w:b/>
      <w:sz w:val="24"/>
      <w:lang w:val="es-MX"/>
    </w:rPr>
  </w:style>
  <w:style w:type="paragraph" w:styleId="Piedepgina">
    <w:name w:val="footer"/>
    <w:basedOn w:val="Normal"/>
    <w:pPr>
      <w:tabs>
        <w:tab w:val="center" w:pos="4419"/>
        <w:tab w:val="right" w:pos="8838"/>
      </w:tabs>
    </w:pPr>
  </w:style>
  <w:style w:type="paragraph" w:styleId="Encabezado">
    <w:name w:val="header"/>
    <w:basedOn w:val="Normal"/>
    <w:pPr>
      <w:tabs>
        <w:tab w:val="center" w:pos="4252"/>
        <w:tab w:val="right" w:pos="8504"/>
      </w:tabs>
    </w:pPr>
    <w:rPr>
      <w:rFonts w:ascii="Verdana" w:hAnsi="Verdana"/>
      <w:sz w:val="24"/>
    </w:rPr>
  </w:style>
  <w:style w:type="paragraph" w:customStyle="1" w:styleId="Epgrafe1">
    <w:name w:val="Epígrafe1"/>
    <w:basedOn w:val="Normal"/>
    <w:next w:val="Normal"/>
    <w:pPr>
      <w:jc w:val="right"/>
    </w:pPr>
    <w:rPr>
      <w:b/>
      <w:sz w:val="26"/>
    </w:rPr>
  </w:style>
  <w:style w:type="paragraph" w:customStyle="1" w:styleId="Mapadeldocumento1">
    <w:name w:val="Mapa del documento1"/>
    <w:basedOn w:val="Normal"/>
    <w:pPr>
      <w:shd w:val="clear" w:color="auto" w:fill="000080"/>
    </w:pPr>
    <w:rPr>
      <w:rFonts w:ascii="Tahoma" w:hAnsi="Tahoma" w:cs="Tahoma"/>
    </w:rPr>
  </w:style>
  <w:style w:type="paragraph" w:styleId="Textodeglobo">
    <w:name w:val="Balloon Text"/>
    <w:basedOn w:val="Normal"/>
    <w:rPr>
      <w:rFonts w:ascii="Tahoma" w:hAnsi="Tahoma" w:cs="Tahoma"/>
      <w:sz w:val="16"/>
      <w:szCs w:val="16"/>
    </w:rPr>
  </w:style>
  <w:style w:type="paragraph" w:styleId="Textosinformato">
    <w:name w:val="Plain Text"/>
    <w:basedOn w:val="Normal"/>
    <w:rPr>
      <w:rFonts w:ascii="Courier New" w:hAnsi="Courier New"/>
    </w:rPr>
  </w:style>
  <w:style w:type="paragraph" w:customStyle="1" w:styleId="Textoindependiente21">
    <w:name w:val="Texto independiente 21"/>
    <w:basedOn w:val="Normal"/>
    <w:pPr>
      <w:jc w:val="both"/>
    </w:pPr>
    <w:rPr>
      <w:bCs/>
      <w:sz w:val="24"/>
    </w:rPr>
  </w:style>
  <w:style w:type="paragraph" w:styleId="Textonotapie">
    <w:name w:val="footnote text"/>
    <w:basedOn w:val="Normal"/>
    <w:rPr>
      <w:lang w:val="es-AR"/>
    </w:rPr>
  </w:style>
  <w:style w:type="paragraph" w:styleId="Textoindependiente2">
    <w:name w:val="Body Text 2"/>
    <w:basedOn w:val="Normal"/>
    <w:pPr>
      <w:overflowPunct w:val="0"/>
      <w:autoSpaceDE w:val="0"/>
      <w:jc w:val="both"/>
      <w:textAlignment w:val="baseline"/>
    </w:pPr>
    <w:rPr>
      <w:rFonts w:ascii="AvantGarde Md BT" w:hAnsi="AvantGarde Md BT"/>
      <w:sz w:val="24"/>
    </w:rPr>
  </w:style>
  <w:style w:type="paragraph" w:customStyle="1" w:styleId="Sangra2detindependiente1">
    <w:name w:val="Sangría 2 de t. independiente1"/>
    <w:basedOn w:val="Normal"/>
    <w:pPr>
      <w:tabs>
        <w:tab w:val="left" w:pos="-720"/>
      </w:tabs>
      <w:spacing w:line="360" w:lineRule="auto"/>
      <w:ind w:left="360" w:firstLine="0"/>
      <w:jc w:val="both"/>
    </w:pPr>
    <w:rPr>
      <w:rFonts w:ascii="Comic Sans MS" w:hAnsi="Comic Sans MS"/>
      <w:spacing w:val="-3"/>
      <w:sz w:val="24"/>
      <w:szCs w:val="24"/>
    </w:rPr>
  </w:style>
  <w:style w:type="paragraph" w:customStyle="1" w:styleId="Textoindependiente31">
    <w:name w:val="Texto independiente 31"/>
    <w:basedOn w:val="Normal"/>
    <w:pPr>
      <w:spacing w:after="120"/>
    </w:pPr>
    <w:rPr>
      <w:sz w:val="16"/>
      <w:szCs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table" w:styleId="Tablaconcuadrcula">
    <w:name w:val="Table Grid"/>
    <w:basedOn w:val="Tablanormal"/>
    <w:pPr>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uppressAutoHyphens/>
      <w:spacing w:before="100" w:beforeAutospacing="1" w:after="100" w:afterAutospacing="1"/>
    </w:pPr>
    <w:rPr>
      <w:sz w:val="24"/>
      <w:szCs w:val="24"/>
      <w:lang w:eastAsia="es-ES"/>
    </w:rPr>
  </w:style>
  <w:style w:type="character" w:styleId="Textoennegrita">
    <w:name w:val="Strong"/>
    <w:rPr>
      <w:b/>
      <w:bCs/>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Prrafodelista">
    <w:name w:val="List Paragraph"/>
    <w:basedOn w:val="Normal"/>
    <w:pPr>
      <w:suppressAutoHyphens/>
      <w:spacing w:after="200" w:line="276" w:lineRule="auto"/>
      <w:ind w:left="720"/>
      <w:contextualSpacing/>
    </w:pPr>
    <w:rPr>
      <w:rFonts w:ascii="Calibri" w:eastAsia="Calibri" w:hAnsi="Calibri"/>
      <w:sz w:val="22"/>
      <w:szCs w:val="22"/>
      <w:lang w:eastAsia="en-US"/>
    </w:rPr>
  </w:style>
  <w:style w:type="character" w:styleId="Refdenotaalpie">
    <w:name w:val="footnote reference"/>
    <w:rPr>
      <w:w w:val="100"/>
      <w:position w:val="-1"/>
      <w:effect w:val="none"/>
      <w:vertAlign w:val="superscript"/>
      <w:cs w:val="0"/>
      <w:em w:val="none"/>
    </w:rPr>
  </w:style>
  <w:style w:type="character" w:customStyle="1" w:styleId="Ttulo4Car">
    <w:name w:val="Título 4 Car"/>
    <w:rPr>
      <w:b/>
      <w:bCs/>
      <w:color w:val="00000A"/>
      <w:w w:val="100"/>
      <w:position w:val="-1"/>
      <w:sz w:val="30"/>
      <w:szCs w:val="24"/>
      <w:effect w:val="none"/>
      <w:shd w:val="clear" w:color="auto" w:fill="E6E6E6"/>
      <w:vertAlign w:val="baseline"/>
      <w:cs w:val="0"/>
      <w:em w:val="none"/>
      <w:lang w:val="es-ES" w:eastAsia="zh-CN" w:bidi="hi-IN"/>
    </w:rPr>
  </w:style>
  <w:style w:type="paragraph" w:styleId="Sangra2detindependiente">
    <w:name w:val="Body Text Indent 2"/>
    <w:basedOn w:val="Normal"/>
    <w:pPr>
      <w:spacing w:after="120" w:line="480" w:lineRule="auto"/>
      <w:ind w:left="283"/>
    </w:pPr>
  </w:style>
  <w:style w:type="character" w:customStyle="1" w:styleId="Sangra2detindependienteCar">
    <w:name w:val="Sangría 2 de t. independiente Car"/>
    <w:rPr>
      <w:w w:val="100"/>
      <w:position w:val="-1"/>
      <w:effect w:val="none"/>
      <w:vertAlign w:val="baseline"/>
      <w:cs w:val="0"/>
      <w:em w:val="none"/>
      <w:lang w:val="es-ES" w:eastAsia="ar-SA"/>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style>
  <w:style w:type="character" w:customStyle="1" w:styleId="TextocomentarioCar">
    <w:name w:val="Texto comentario Car"/>
    <w:rPr>
      <w:w w:val="100"/>
      <w:position w:val="-1"/>
      <w:effect w:val="none"/>
      <w:vertAlign w:val="baseline"/>
      <w:cs w:val="0"/>
      <w:em w:val="none"/>
      <w:lang w:val="es-ES" w:eastAsia="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ar-SA"/>
    </w:rPr>
  </w:style>
  <w:style w:type="character" w:customStyle="1" w:styleId="Ttulo1Car">
    <w:name w:val="Título 1 Car"/>
    <w:rPr>
      <w:rFonts w:ascii="Aptos Display" w:eastAsia="Times New Roman" w:hAnsi="Aptos Display" w:cs="Times New Roman"/>
      <w:b/>
      <w:bCs/>
      <w:w w:val="100"/>
      <w:kern w:val="32"/>
      <w:position w:val="-1"/>
      <w:sz w:val="32"/>
      <w:szCs w:val="32"/>
      <w:effect w:val="none"/>
      <w:vertAlign w:val="baseline"/>
      <w:cs w:val="0"/>
      <w:em w:val="none"/>
      <w:lang w:val="es-E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n9CbTkPJiyvXCW9KyPnbKoD+g==">CgMxLjAyCGguZ2pkZ3hzMgloLjMwajB6bGw4AHIhMXhJa2JCMklRY2hOT3lGY1ZsMlN6ZFpqZjBvdXVRTS1s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2122</Words>
  <Characters>11671</Characters>
  <Application>Microsoft Office Word</Application>
  <DocSecurity>0</DocSecurity>
  <Lines>97</Lines>
  <Paragraphs>27</Paragraphs>
  <ScaleCrop>false</ScaleCrop>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Merino</dc:creator>
  <cp:lastModifiedBy>Nicolás Rodríguez</cp:lastModifiedBy>
  <cp:revision>2</cp:revision>
  <dcterms:created xsi:type="dcterms:W3CDTF">2024-05-13T17:33:00Z</dcterms:created>
  <dcterms:modified xsi:type="dcterms:W3CDTF">2025-09-01T22:12:00Z</dcterms:modified>
</cp:coreProperties>
</file>