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margin" w:horzAnchor="margin" w:tblpX="0" w:tblpY="0"/>
        <w:tblW w:w="9214.0" w:type="dxa"/>
        <w:jc w:val="left"/>
        <w:tblLayout w:type="fixed"/>
        <w:tblLook w:val="00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40.0" w:type="dxa"/>
              <w:bottom w:w="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</w:rPr>
              <w:drawing>
                <wp:inline distB="114300" distT="114300" distL="114300" distR="114300">
                  <wp:extent cx="3492500" cy="1308100"/>
                  <wp:effectExtent b="0" l="0" r="0" t="0"/>
                  <wp:docPr id="10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0" cy="1308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Dirección General de Educación Superior</w:t>
            </w:r>
          </w:p>
          <w:p w:rsidR="00000000" w:rsidDel="00000000" w:rsidP="00000000" w:rsidRDefault="00000000" w:rsidRPr="00000000" w14:paraId="00000004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Instituto Superior de Formación Docente N° 803</w:t>
            </w:r>
          </w:p>
          <w:p w:rsidR="00000000" w:rsidDel="00000000" w:rsidP="00000000" w:rsidRDefault="00000000" w:rsidRPr="00000000" w14:paraId="00000005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Puerto Madryn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shd w:fill="000000" w:val="clear"/>
              <w:spacing w:line="360" w:lineRule="auto"/>
              <w:jc w:val="center"/>
              <w:rPr>
                <w:rFonts w:ascii="Arial" w:cs="Arial" w:eastAsia="Arial" w:hAnsi="Arial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 R O G R A M A   2 0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2"/>
                <w:szCs w:val="22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Carrera:P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rofesorado de Educación Tecnológica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19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9199"/>
              <w:tblGridChange w:id="0">
                <w:tblGrid>
                  <w:gridCol w:w="9199"/>
                </w:tblGrid>
              </w:tblGridChange>
            </w:tblGrid>
            <w:tr>
              <w:trPr>
                <w:cantSplit w:val="0"/>
                <w:trHeight w:val="214.98046875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0A">
                  <w:pPr>
                    <w:spacing w:line="360" w:lineRule="auto"/>
                    <w:jc w:val="both"/>
                    <w:rPr>
                      <w:rFonts w:ascii="Arial" w:cs="Arial" w:eastAsia="Arial" w:hAnsi="Arial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2"/>
                      <w:szCs w:val="22"/>
                      <w:vertAlign w:val="baseline"/>
                      <w:rtl w:val="0"/>
                    </w:rPr>
                    <w:t xml:space="preserve">                                                            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- Res. 329/22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Asignatura,                                                              Equipo Docente</w:t>
            </w:r>
          </w:p>
          <w:tbl>
            <w:tblPr>
              <w:tblStyle w:val="Table3"/>
              <w:tblW w:w="9199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599"/>
              <w:gridCol w:w="4600"/>
              <w:tblGridChange w:id="0">
                <w:tblGrid>
                  <w:gridCol w:w="4599"/>
                  <w:gridCol w:w="46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0D">
                  <w:pPr>
                    <w:spacing w:line="360" w:lineRule="auto"/>
                    <w:jc w:val="both"/>
                    <w:rPr>
                      <w:rFonts w:ascii="Arial" w:cs="Arial" w:eastAsia="Arial" w:hAnsi="Arial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ESTUDIO SOBRE  SOCIOLOGÍA DE LA TÉCNICA Y LA TECNOLOGÍA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0E">
                  <w:pPr>
                    <w:spacing w:line="360" w:lineRule="auto"/>
                    <w:jc w:val="both"/>
                    <w:rPr>
                      <w:rFonts w:ascii="Arial" w:cs="Arial" w:eastAsia="Arial" w:hAnsi="Arial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LARRAÑAGA,MARIA LAURA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0d0d0d" w:val="clear"/>
        <w:spacing w:line="360" w:lineRule="auto"/>
        <w:jc w:val="both"/>
        <w:rPr>
          <w:rFonts w:ascii="Arial" w:cs="Arial" w:eastAsia="Arial" w:hAnsi="Arial"/>
          <w:color w:val="ffffff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2"/>
          <w:szCs w:val="22"/>
          <w:vertAlign w:val="baseline"/>
          <w:rtl w:val="0"/>
        </w:rPr>
        <w:t xml:space="preserve">1. FUNDAMENTACIÓN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estudio de la Sociología de la Técnica y la Tecnología permite comprender las interacciones entre el cambio tecnológico y la sociedad. A través de diferentes enfoques teóricos, se busca analizar la evolución de los sistemas tecnológicos, la construcción social de la tecnología y las implicancias de los determinismos tecnológico y social. Esta asignatura promueve la reflexión crítica sobre los procesos de innovación, la transferencia tecnológica y la relación entre tecnología y cambio social, con el objetivo de fortalecer la formación de futuros docentes en Educación Tecnológica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0d0d0d" w:val="clear"/>
        <w:spacing w:line="360" w:lineRule="auto"/>
        <w:jc w:val="both"/>
        <w:rPr>
          <w:rFonts w:ascii="Arial" w:cs="Arial" w:eastAsia="Arial" w:hAnsi="Arial"/>
          <w:color w:val="ffffff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2"/>
          <w:szCs w:val="22"/>
          <w:vertAlign w:val="baseline"/>
          <w:rtl w:val="0"/>
        </w:rPr>
        <w:t xml:space="preserve">2.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240" w:line="360" w:lineRule="auto"/>
        <w:ind w:left="720" w:hanging="360"/>
        <w:jc w:val="both"/>
        <w:rPr>
          <w:rFonts w:ascii="Arial" w:cs="Arial" w:eastAsia="Arial" w:hAnsi="Arial"/>
          <w:color w:val="0d0d0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Analizar los principales enfoques teóricos sobre el cambio tecnológico.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color w:val="0d0d0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Comprender la evolución y construcción de los sistemas tecnológicos.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color w:val="0d0d0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Reflexionar sobre la relación entre tecnología y sociedad desde una mirada sociológica.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color w:val="0d0d0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Identificar las implicancias del determinismo tecnológico y social en la producción y uso de tecnología.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0" w:beforeAutospacing="0" w:line="360" w:lineRule="auto"/>
        <w:ind w:left="720" w:hanging="360"/>
        <w:jc w:val="both"/>
        <w:rPr>
          <w:rFonts w:ascii="Arial" w:cs="Arial" w:eastAsia="Arial" w:hAnsi="Arial"/>
          <w:color w:val="0d0d0d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rtl w:val="0"/>
        </w:rPr>
        <w:t xml:space="preserve">Aplicar los conceptos estudiados en el análisis de casos concretos relacionados con la tecnología.</w:t>
      </w:r>
    </w:p>
    <w:p w:rsidR="00000000" w:rsidDel="00000000" w:rsidP="00000000" w:rsidRDefault="00000000" w:rsidRPr="00000000" w14:paraId="0000001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ind w:left="720" w:firstLine="0"/>
        <w:jc w:val="both"/>
        <w:rPr>
          <w:rFonts w:ascii="Arial" w:cs="Arial" w:eastAsia="Arial" w:hAnsi="Arial"/>
          <w:color w:val="0d0d0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0d0d0d" w:val="clear"/>
        <w:spacing w:line="360" w:lineRule="auto"/>
        <w:jc w:val="both"/>
        <w:rPr>
          <w:rFonts w:ascii="Arial" w:cs="Arial" w:eastAsia="Arial" w:hAnsi="Arial"/>
          <w:color w:val="ffffff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2"/>
          <w:szCs w:val="22"/>
          <w:vertAlign w:val="baseline"/>
          <w:rtl w:val="0"/>
        </w:rPr>
        <w:t xml:space="preserve">3. CONTENIDOS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line="360" w:lineRule="auto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bookmarkStart w:colFirst="0" w:colLast="0" w:name="_heading=h.jdxkqsvcbbg2" w:id="0"/>
      <w:bookmarkEnd w:id="0"/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Contenidos: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240" w:line="360" w:lineRule="auto"/>
        <w:ind w:left="720" w:hanging="360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Abordajes del cambio tecnológico: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 perspectiva evolucionista, innovación y conocimiento.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Construcción social de la tecnología: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 flexibilidad interpretativa, invención, desarrollo e innovación.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Relación entre tecnología y sociedad: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 determinismo tecnológico vs. determinismo social.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Actor-Network Theory (ANT):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 actores, redes, enrolamiento y críticas al modelo.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240" w:before="0" w:beforeAutospacing="0" w:line="360" w:lineRule="auto"/>
        <w:ind w:left="720" w:hanging="360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d0d0d"/>
          <w:sz w:val="22"/>
          <w:szCs w:val="22"/>
          <w:highlight w:val="white"/>
          <w:rtl w:val="0"/>
        </w:rPr>
        <w:t xml:space="preserve">Impacto social de la tecnología: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 tecnología y cambio social, poder semiótico y políticas del conocimiento.</w:t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spacing w:line="360" w:lineRule="auto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bookmarkStart w:colFirst="0" w:colLast="0" w:name="_heading=h.tzftehn7mh7o" w:id="1"/>
      <w:bookmarkEnd w:id="1"/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Bibliografía: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afterAutospacing="0" w:before="240" w:line="360" w:lineRule="auto"/>
        <w:ind w:left="720" w:hanging="360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Boczkowski, P. (1996). "Acerca de las relaciones entre la(s) sociología(s) de la ciencia y de la tecnología". REDES, N° 8.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Latour, B. (2005). </w:t>
      </w:r>
      <w:r w:rsidDel="00000000" w:rsidR="00000000" w:rsidRPr="00000000">
        <w:rPr>
          <w:rFonts w:ascii="Arial" w:cs="Arial" w:eastAsia="Arial" w:hAnsi="Arial"/>
          <w:i w:val="1"/>
          <w:color w:val="0d0d0d"/>
          <w:sz w:val="22"/>
          <w:szCs w:val="22"/>
          <w:highlight w:val="white"/>
          <w:rtl w:val="0"/>
        </w:rPr>
        <w:t xml:space="preserve">Reensamblar lo social. Una introducción a la teoría del actor-red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. Manantial.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Lawler, D. (2003). "Las funciones técnicas de los artefactos y su encuentro con el constructivismo social de la tecnología". CTS, Revista Iberoamericana de Ciencia, Tecnología y Sociedad.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Thomas, H. y Buch, A. (2008). </w:t>
      </w:r>
      <w:r w:rsidDel="00000000" w:rsidR="00000000" w:rsidRPr="00000000">
        <w:rPr>
          <w:rFonts w:ascii="Arial" w:cs="Arial" w:eastAsia="Arial" w:hAnsi="Arial"/>
          <w:i w:val="1"/>
          <w:color w:val="0d0d0d"/>
          <w:sz w:val="22"/>
          <w:szCs w:val="22"/>
          <w:highlight w:val="white"/>
          <w:rtl w:val="0"/>
        </w:rPr>
        <w:t xml:space="preserve">Actos, actores y artefactos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. Universidad Nacional de Quilmes.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Bourdieu, P. (1986). </w:t>
      </w:r>
      <w:r w:rsidDel="00000000" w:rsidR="00000000" w:rsidRPr="00000000">
        <w:rPr>
          <w:rFonts w:ascii="Arial" w:cs="Arial" w:eastAsia="Arial" w:hAnsi="Arial"/>
          <w:i w:val="1"/>
          <w:color w:val="0d0d0d"/>
          <w:sz w:val="22"/>
          <w:szCs w:val="22"/>
          <w:highlight w:val="white"/>
          <w:rtl w:val="0"/>
        </w:rPr>
        <w:t xml:space="preserve">El sentido práctico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. Siglo XXI.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Bourdieu, P. (2001). </w:t>
      </w:r>
      <w:r w:rsidDel="00000000" w:rsidR="00000000" w:rsidRPr="00000000">
        <w:rPr>
          <w:rFonts w:ascii="Arial" w:cs="Arial" w:eastAsia="Arial" w:hAnsi="Arial"/>
          <w:i w:val="1"/>
          <w:color w:val="0d0d0d"/>
          <w:sz w:val="22"/>
          <w:szCs w:val="22"/>
          <w:highlight w:val="white"/>
          <w:rtl w:val="0"/>
        </w:rPr>
        <w:t xml:space="preserve">Razones prácticas: sobre la teoría de la acción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. Anagrama.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Durkheim, E. (1893). </w:t>
      </w:r>
      <w:r w:rsidDel="00000000" w:rsidR="00000000" w:rsidRPr="00000000">
        <w:rPr>
          <w:rFonts w:ascii="Arial" w:cs="Arial" w:eastAsia="Arial" w:hAnsi="Arial"/>
          <w:i w:val="1"/>
          <w:color w:val="0d0d0d"/>
          <w:sz w:val="22"/>
          <w:szCs w:val="22"/>
          <w:highlight w:val="white"/>
          <w:rtl w:val="0"/>
        </w:rPr>
        <w:t xml:space="preserve">La división del trabajo social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. Presses Universitaires de France.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Durkheim, E. (1912). </w:t>
      </w:r>
      <w:r w:rsidDel="00000000" w:rsidR="00000000" w:rsidRPr="00000000">
        <w:rPr>
          <w:rFonts w:ascii="Arial" w:cs="Arial" w:eastAsia="Arial" w:hAnsi="Arial"/>
          <w:i w:val="1"/>
          <w:color w:val="0d0d0d"/>
          <w:sz w:val="22"/>
          <w:szCs w:val="22"/>
          <w:highlight w:val="white"/>
          <w:rtl w:val="0"/>
        </w:rPr>
        <w:t xml:space="preserve">Las formas elementales de la vida religiosa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. Alianza Editorial.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240" w:before="0" w:beforeAutospacing="0" w:line="360" w:lineRule="auto"/>
        <w:ind w:left="720" w:hanging="360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Feenberg, A. (2022). </w:t>
      </w:r>
      <w:r w:rsidDel="00000000" w:rsidR="00000000" w:rsidRPr="00000000">
        <w:rPr>
          <w:rFonts w:ascii="Arial" w:cs="Arial" w:eastAsia="Arial" w:hAnsi="Arial"/>
          <w:i w:val="1"/>
          <w:color w:val="0d0d0d"/>
          <w:sz w:val="22"/>
          <w:szCs w:val="22"/>
          <w:highlight w:val="white"/>
          <w:rtl w:val="0"/>
        </w:rPr>
        <w:t xml:space="preserve">Tecnofilosofía. Reflexiones sobre tecnología y democracia</w:t>
      </w:r>
      <w:r w:rsidDel="00000000" w:rsidR="00000000" w:rsidRPr="00000000">
        <w:rPr>
          <w:rFonts w:ascii="Arial" w:cs="Arial" w:eastAsia="Arial" w:hAnsi="Arial"/>
          <w:color w:val="0d0d0d"/>
          <w:sz w:val="22"/>
          <w:szCs w:val="22"/>
          <w:highlight w:val="white"/>
          <w:rtl w:val="0"/>
        </w:rPr>
        <w:t xml:space="preserve">. Editorial Siglo XXI.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color w:val="0d0d0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0d0d0d" w:val="clear"/>
        <w:spacing w:line="360" w:lineRule="auto"/>
        <w:jc w:val="both"/>
        <w:rPr>
          <w:rFonts w:ascii="Arial" w:cs="Arial" w:eastAsia="Arial" w:hAnsi="Arial"/>
          <w:color w:val="ffffff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2"/>
          <w:szCs w:val="22"/>
          <w:vertAlign w:val="baseline"/>
          <w:rtl w:val="0"/>
        </w:rPr>
        <w:t xml:space="preserve">. EVALUACIÓN – ACREDITACIÓN (CONDICIONES DE ALUMNO REGULAR Y LIBRE)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4"/>
        <w:keepNext w:val="0"/>
        <w:keepLines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ji9yjy27ne7q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Condiciones de alumno regular: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before="24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Asistencia al 70% de las clases presenciales y cumplimiento de actividades no presenciales.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Participación en debates, análisis de textos y actividades prácticas.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Presentación de al menos dos trabajos escritos o audiovisuales sobre los temas abordados.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24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Aprobación de un trabajo integrador final.</w:t>
      </w:r>
    </w:p>
    <w:p w:rsidR="00000000" w:rsidDel="00000000" w:rsidP="00000000" w:rsidRDefault="00000000" w:rsidRPr="00000000" w14:paraId="00000036">
      <w:pPr>
        <w:pStyle w:val="Heading4"/>
        <w:keepNext w:val="0"/>
        <w:keepLines w:val="0"/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rpxkt0whyh0l" w:id="3"/>
      <w:bookmarkEnd w:id="3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Condiciones de alumno libre: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Presentación de un informe crítico sobre un tema de la materia.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Examen escrito y oral sobre los contenidos de la asignatura.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0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09"/>
        <w:tblGridChange w:id="0">
          <w:tblGrid>
            <w:gridCol w:w="920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FECHA: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/03/202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FIRMA DEL EQUIPO DOCENTE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LARRAÑAGA , MARIA LAURA.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Arial" w:cs="Arial" w:eastAsia="Arial" w:hAnsi="Arial"/>
          <w:sz w:val="22"/>
          <w:szCs w:val="22"/>
          <w:vertAlign w:val="baseline"/>
        </w:rPr>
      </w:pPr>
      <w:bookmarkStart w:colFirst="0" w:colLast="0" w:name="_heading=h.30j0zll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7" w:w="11905" w:orient="portrait"/>
      <w:pgMar w:bottom="1418" w:top="1418" w:left="1418" w:right="1418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mic Sans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es-MX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eastAsia="Arial Unicode MS" w:hAnsi="Arial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hd w:color="auto" w:fill="e6e6e6" w:val="clear"/>
      <w:suppressAutoHyphens w:val="1"/>
      <w:spacing w:after="227" w:before="227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color w:val="00000a"/>
      <w:w w:val="100"/>
      <w:position w:val="-1"/>
      <w:sz w:val="30"/>
      <w:szCs w:val="24"/>
      <w:effect w:val="none"/>
      <w:vertAlign w:val="baseline"/>
      <w:cs w:val="0"/>
      <w:em w:val="none"/>
      <w:lang w:bidi="hi-IN" w:eastAsia="zh-CN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" w:hAnsi="Wingdings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Wingdings" w:hAnsi="Wingdings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Comic Sans MS" w:hAnsi="Comic Sans MS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Wingdings" w:hAnsi="Wingdings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7z0">
    <w:name w:val="WW8Num27z0"/>
    <w:next w:val="WW8Num2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7z1">
    <w:name w:val="WW8Num27z1"/>
    <w:next w:val="WW8Num2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7z2">
    <w:name w:val="WW8Num27z2"/>
    <w:next w:val="WW8Num27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9z1">
    <w:name w:val="WW8Num29z1"/>
    <w:next w:val="WW8Num2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9z2">
    <w:name w:val="WW8Num29z2"/>
    <w:next w:val="WW8Num29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0z1">
    <w:name w:val="WW8Num30z1"/>
    <w:next w:val="WW8Num30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0z3">
    <w:name w:val="WW8Num30z3"/>
    <w:next w:val="WW8Num30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2z0">
    <w:name w:val="WW8Num32z0"/>
    <w:next w:val="WW8Num32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2z1">
    <w:name w:val="WW8Num32z1"/>
    <w:next w:val="WW8Num3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2z2">
    <w:name w:val="WW8Num32z2"/>
    <w:next w:val="WW8Num3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4z1">
    <w:name w:val="WW8Num34z1"/>
    <w:next w:val="WW8Num3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5z1">
    <w:name w:val="WW8Num35z1"/>
    <w:next w:val="WW8Num35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5z3">
    <w:name w:val="WW8Num35z3"/>
    <w:next w:val="WW8Num3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6z0">
    <w:name w:val="WW8Num36z0"/>
    <w:next w:val="WW8Num36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6z1">
    <w:name w:val="WW8Num36z1"/>
    <w:next w:val="WW8Num36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6z3">
    <w:name w:val="WW8Num36z3"/>
    <w:next w:val="WW8Num36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7z1">
    <w:name w:val="WW8Num37z1"/>
    <w:next w:val="WW8Num3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7z2">
    <w:name w:val="WW8Num37z2"/>
    <w:next w:val="WW8Num37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8z1">
    <w:name w:val="WW8Num38z1"/>
    <w:next w:val="WW8Num3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8z2">
    <w:name w:val="WW8Num38z2"/>
    <w:next w:val="WW8Num38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rFonts w:ascii="Wingdings" w:hAnsi="Wingdings"/>
      <w:b w:val="0"/>
      <w:i w:val="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úmerodepágina">
    <w:name w:val="Número de página"/>
    <w:basedOn w:val="Fuentedepárrafopredeter.1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ímbolodenotaalpie">
    <w:name w:val="Símbolo de nota al pie"/>
    <w:next w:val="Símbolo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MáquinadeescribirHTML">
    <w:name w:val="Máquina de escribir HTML"/>
    <w:next w:val="MáquinadeescribirHTML"/>
    <w:autoRedefine w:val="0"/>
    <w:hidden w:val="0"/>
    <w:qFormat w:val="0"/>
    <w:rPr>
      <w:rFonts w:ascii="Courier New" w:cs="Courier New" w:eastAsia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Lucidasans" w:eastAsia="HG Mincho Light J" w:hAnsi="Helvetica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Lucidasans" w:hAnsi="Times"/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" w:cs="Lucidasans" w:hAnsi="Times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Lucidasans" w:hAnsi="Times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ar-SA" w:val="es-MX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Epígrafe1">
    <w:name w:val="Epígrafe1"/>
    <w:basedOn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b w:val="1"/>
      <w:w w:val="100"/>
      <w:position w:val="-1"/>
      <w:sz w:val="26"/>
      <w:effect w:val="none"/>
      <w:vertAlign w:val="baseline"/>
      <w:cs w:val="0"/>
      <w:em w:val="none"/>
      <w:lang w:bidi="ar-SA" w:eastAsia="ar-SA" w:val="es-ES"/>
    </w:rPr>
  </w:style>
  <w:style w:type="paragraph" w:styleId="Mapadeldocumento1">
    <w:name w:val="Mapa del documento1"/>
    <w:basedOn w:val="Normal"/>
    <w:next w:val="Mapadeldocumento1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extoindependiente21">
    <w:name w:val="Texto independiente 21"/>
    <w:basedOn w:val="Normal"/>
    <w:next w:val="Textoindependiente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Cs w:val="1"/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AR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0"/>
      <w:overflowPunct w:val="0"/>
      <w:autoSpaceDE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AvantGarde Md BT" w:hAnsi="AvantGarde Md BT"/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Sangría2det.independiente1">
    <w:name w:val="Sangría 2 de t. independiente1"/>
    <w:basedOn w:val="Normal"/>
    <w:next w:val="Sangría2det.independiente1"/>
    <w:autoRedefine w:val="0"/>
    <w:hidden w:val="0"/>
    <w:qFormat w:val="0"/>
    <w:pPr>
      <w:tabs>
        <w:tab w:val="left" w:leader="none" w:pos="-720"/>
      </w:tabs>
      <w:suppressAutoHyphens w:val="0"/>
      <w:spacing w:line="360" w:lineRule="auto"/>
      <w:ind w:left="360" w:right="0" w:leftChars="-1" w:rightChars="0" w:firstLine="0" w:firstLineChars="-1"/>
      <w:jc w:val="both"/>
      <w:textDirection w:val="btLr"/>
      <w:textAlignment w:val="top"/>
      <w:outlineLvl w:val="0"/>
    </w:pPr>
    <w:rPr>
      <w:rFonts w:ascii="Comic Sans MS" w:hAnsi="Comic Sans MS"/>
      <w:spacing w:val="-3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Textoindependiente31">
    <w:name w:val="Texto independiente 31"/>
    <w:basedOn w:val="Normal"/>
    <w:next w:val="Textoindependiente31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Título4Car">
    <w:name w:val="Título 4 Car"/>
    <w:next w:val="Título4Car"/>
    <w:autoRedefine w:val="0"/>
    <w:hidden w:val="0"/>
    <w:qFormat w:val="0"/>
    <w:rPr>
      <w:b w:val="1"/>
      <w:bCs w:val="1"/>
      <w:color w:val="00000a"/>
      <w:w w:val="100"/>
      <w:position w:val="-1"/>
      <w:sz w:val="30"/>
      <w:szCs w:val="24"/>
      <w:effect w:val="none"/>
      <w:shd w:color="auto" w:fill="e6e6e6" w:val="clear"/>
      <w:vertAlign w:val="baseline"/>
      <w:cs w:val="0"/>
      <w:em w:val="none"/>
      <w:lang w:bidi="hi-IN" w:eastAsia="zh-CN" w:val="es-ES"/>
    </w:rPr>
  </w:style>
  <w:style w:type="paragraph" w:styleId="Sangría2det.independiente">
    <w:name w:val="Sangría 2 de t. independiente"/>
    <w:basedOn w:val="Normal"/>
    <w:next w:val="Sangría2det.independiente"/>
    <w:autoRedefine w:val="0"/>
    <w:hidden w:val="0"/>
    <w:qFormat w:val="0"/>
    <w:pPr>
      <w:suppressAutoHyphens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character" w:styleId="Sangría2det.independienteCar">
    <w:name w:val="Sangría 2 de t. independiente Car"/>
    <w:next w:val="Sangría2det.independient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dgq8SxZoV/PLJO61UshTlSylDw==">CgMxLjAyDmguamR4a3FzdmNiYmcyMg5oLnR6ZnRlaG43bWg3bzIOaC5qaTl5ankyN25lN3EyDmgucnB4a3Qwd2h5aDBsMgloLjMwajB6bGw4AHIhMW1qdk85elI2Zi1veExEUURWNzRkS2NDRmtZVGk4UXRi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2020-06-04T12:39:00Z</dcterms:created>
  <dc:creator>Sergio Merino</dc:creator>
</cp:coreProperties>
</file>