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A987B3C" w:rsidR="00E64318" w:rsidRDefault="008A08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“Manual de</w:t>
      </w:r>
      <w:r w:rsidR="002F3B53">
        <w:rPr>
          <w:b/>
          <w:sz w:val="32"/>
          <w:szCs w:val="32"/>
        </w:rPr>
        <w:t xml:space="preserve"> Procedimiento de</w:t>
      </w:r>
      <w:r>
        <w:rPr>
          <w:b/>
          <w:sz w:val="32"/>
          <w:szCs w:val="32"/>
        </w:rPr>
        <w:t xml:space="preserve"> Equivalencias de Educación Superior” </w:t>
      </w:r>
    </w:p>
    <w:p w14:paraId="00000002" w14:textId="77777777" w:rsidR="00E64318" w:rsidRDefault="008A08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Ministerio de Educación – Provincia de</w:t>
      </w:r>
      <w:sdt>
        <w:sdtPr>
          <w:tag w:val="goog_rdk_0"/>
          <w:id w:val="13813723"/>
        </w:sdtPr>
        <w:sdtEndPr/>
        <w:sdtContent/>
      </w:sdt>
      <w:r>
        <w:rPr>
          <w:b/>
          <w:i/>
          <w:sz w:val="28"/>
          <w:szCs w:val="28"/>
        </w:rPr>
        <w:t xml:space="preserve"> Chubut</w:t>
      </w:r>
    </w:p>
    <w:p w14:paraId="00000003" w14:textId="77777777" w:rsidR="00E64318" w:rsidRDefault="00E64318">
      <w:pPr>
        <w:jc w:val="center"/>
        <w:rPr>
          <w:b/>
          <w:sz w:val="36"/>
          <w:szCs w:val="36"/>
        </w:rPr>
      </w:pPr>
    </w:p>
    <w:p w14:paraId="00000004" w14:textId="77777777" w:rsidR="00E64318" w:rsidRDefault="00E64318">
      <w:pPr>
        <w:rPr>
          <w:b/>
          <w:sz w:val="36"/>
          <w:szCs w:val="36"/>
          <w:u w:val="single"/>
        </w:rPr>
      </w:pPr>
    </w:p>
    <w:tbl>
      <w:tblPr>
        <w:tblStyle w:val="a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E64318" w14:paraId="4049F46F" w14:textId="77777777">
        <w:tc>
          <w:tcPr>
            <w:tcW w:w="883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"/>
              <w:id w:val="-530193493"/>
              <w:lock w:val="contentLocked"/>
            </w:sdtPr>
            <w:sdtEndPr/>
            <w:sdtContent>
              <w:p w14:paraId="00000005" w14:textId="77777777" w:rsidR="00E64318" w:rsidRDefault="008A08F4">
                <w:pPr>
                  <w:rPr>
                    <w:b/>
                    <w:sz w:val="36"/>
                    <w:szCs w:val="36"/>
                    <w:u w:val="single"/>
                  </w:rPr>
                </w:pPr>
                <w:r>
                  <w:rPr>
                    <w:b/>
                    <w:sz w:val="28"/>
                    <w:szCs w:val="28"/>
                  </w:rPr>
                  <w:t>Periodo de recepción de solicitudes de equivalencias (de 1° al 4° año)</w:t>
                </w:r>
              </w:p>
            </w:sdtContent>
          </w:sdt>
        </w:tc>
      </w:tr>
    </w:tbl>
    <w:p w14:paraId="00000006" w14:textId="77777777" w:rsidR="00E64318" w:rsidRDefault="00E64318">
      <w:pPr>
        <w:rPr>
          <w:b/>
          <w:sz w:val="36"/>
          <w:szCs w:val="36"/>
          <w:u w:val="single"/>
        </w:rPr>
      </w:pPr>
    </w:p>
    <w:p w14:paraId="00000007" w14:textId="77777777" w:rsidR="00E64318" w:rsidRDefault="008A08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1er cuatrimestre: 01 de </w:t>
      </w:r>
      <w:proofErr w:type="gramStart"/>
      <w:r>
        <w:rPr>
          <w:b/>
          <w:color w:val="000000"/>
          <w:sz w:val="28"/>
          <w:szCs w:val="28"/>
        </w:rPr>
        <w:t>Marzo</w:t>
      </w:r>
      <w:proofErr w:type="gramEnd"/>
      <w:r>
        <w:rPr>
          <w:b/>
          <w:color w:val="000000"/>
          <w:sz w:val="28"/>
          <w:szCs w:val="28"/>
        </w:rPr>
        <w:t xml:space="preserve"> al 30 de Abril</w:t>
      </w:r>
    </w:p>
    <w:p w14:paraId="00000008" w14:textId="77777777" w:rsidR="00E64318" w:rsidRDefault="008A08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2do cuatrimestre: </w:t>
      </w:r>
      <w:bookmarkStart w:id="0" w:name="_GoBack"/>
      <w:r>
        <w:rPr>
          <w:b/>
          <w:color w:val="000000"/>
          <w:sz w:val="28"/>
          <w:szCs w:val="28"/>
        </w:rPr>
        <w:t xml:space="preserve">01 de </w:t>
      </w:r>
      <w:proofErr w:type="gramStart"/>
      <w:r>
        <w:rPr>
          <w:b/>
          <w:color w:val="000000"/>
          <w:sz w:val="28"/>
          <w:szCs w:val="28"/>
        </w:rPr>
        <w:t>Agosto</w:t>
      </w:r>
      <w:proofErr w:type="gramEnd"/>
      <w:r>
        <w:rPr>
          <w:b/>
          <w:color w:val="000000"/>
          <w:sz w:val="28"/>
          <w:szCs w:val="28"/>
        </w:rPr>
        <w:t xml:space="preserve"> al 30 de Septiembre.</w:t>
      </w:r>
      <w:bookmarkEnd w:id="0"/>
    </w:p>
    <w:p w14:paraId="00000009" w14:textId="7AD05CE6" w:rsidR="00E64318" w:rsidRPr="001B5AF8" w:rsidRDefault="008A08F4" w:rsidP="001B5AF8">
      <w:pPr>
        <w:jc w:val="both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Procedimiento:</w:t>
      </w:r>
      <w:r w:rsidR="00EB39E1" w:rsidRPr="001B5AF8">
        <w:rPr>
          <w:sz w:val="36"/>
          <w:szCs w:val="36"/>
        </w:rPr>
        <w:t xml:space="preserve"> </w:t>
      </w:r>
      <w:r w:rsidR="00EB39E1" w:rsidRPr="001B5AF8">
        <w:rPr>
          <w:sz w:val="28"/>
          <w:szCs w:val="28"/>
        </w:rPr>
        <w:t>Se encuadra en lo indicado en el</w:t>
      </w:r>
      <w:r w:rsidR="001B5AF8" w:rsidRPr="001B5AF8">
        <w:rPr>
          <w:sz w:val="28"/>
          <w:szCs w:val="28"/>
        </w:rPr>
        <w:t xml:space="preserve"> </w:t>
      </w:r>
      <w:r w:rsidR="00EB39E1" w:rsidRPr="001B5AF8">
        <w:rPr>
          <w:sz w:val="28"/>
          <w:szCs w:val="28"/>
        </w:rPr>
        <w:t>RAM Capítulo V: Pases y E</w:t>
      </w:r>
      <w:r w:rsidR="001B5AF8" w:rsidRPr="001B5AF8">
        <w:rPr>
          <w:sz w:val="28"/>
          <w:szCs w:val="28"/>
        </w:rPr>
        <w:t>quivalencias – Resolución N° 1065 ME – Tablas de Equivalencias entre planes que obran en los Diseños Curriculares Jurisdiccionales – Disposiciones Aprobadas en Consejo Institucional.</w:t>
      </w:r>
    </w:p>
    <w:tbl>
      <w:tblPr>
        <w:tblStyle w:val="a0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E64318" w14:paraId="475780EE" w14:textId="77777777">
        <w:tc>
          <w:tcPr>
            <w:tcW w:w="883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"/>
              <w:id w:val="99850020"/>
              <w:lock w:val="contentLocked"/>
            </w:sdtPr>
            <w:sdtEndPr/>
            <w:sdtContent>
              <w:p w14:paraId="0000000A" w14:textId="77777777" w:rsidR="00E64318" w:rsidRDefault="008A08F4">
                <w:pPr>
                  <w:rPr>
                    <w:b/>
                    <w:sz w:val="36"/>
                    <w:szCs w:val="36"/>
                    <w:u w:val="single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1º) Solicitud de equivalencias. </w:t>
                </w:r>
              </w:p>
            </w:sdtContent>
          </w:sdt>
        </w:tc>
      </w:tr>
    </w:tbl>
    <w:p w14:paraId="0000000B" w14:textId="77777777" w:rsidR="00E64318" w:rsidRDefault="00E64318">
      <w:pPr>
        <w:rPr>
          <w:b/>
          <w:sz w:val="28"/>
          <w:szCs w:val="28"/>
        </w:rPr>
      </w:pPr>
    </w:p>
    <w:p w14:paraId="0000000C" w14:textId="77777777" w:rsidR="00E64318" w:rsidRDefault="008A0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Documentación a presentar a Coordinador/a de carrera: </w:t>
      </w:r>
    </w:p>
    <w:p w14:paraId="0000000D" w14:textId="2792BFF8" w:rsidR="00E64318" w:rsidRDefault="008A08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Solicitud de equivalencias por duplicado </w:t>
      </w:r>
      <w:r>
        <w:rPr>
          <w:color w:val="000000"/>
          <w:sz w:val="28"/>
          <w:szCs w:val="28"/>
        </w:rPr>
        <w:t>(disponibl</w:t>
      </w:r>
      <w:sdt>
        <w:sdtPr>
          <w:tag w:val="goog_rdk_3"/>
          <w:id w:val="-1857186385"/>
        </w:sdtPr>
        <w:sdtEndPr/>
        <w:sdtContent>
          <w:commentRangeStart w:id="1"/>
        </w:sdtContent>
      </w:sdt>
      <w:r>
        <w:rPr>
          <w:color w:val="000000"/>
          <w:sz w:val="28"/>
          <w:szCs w:val="28"/>
        </w:rPr>
        <w:t xml:space="preserve">e en la página </w:t>
      </w:r>
      <w:commentRangeEnd w:id="1"/>
      <w:r>
        <w:commentReference w:id="1"/>
      </w:r>
      <w:r>
        <w:rPr>
          <w:sz w:val="28"/>
          <w:szCs w:val="28"/>
        </w:rPr>
        <w:t>institucional</w:t>
      </w:r>
      <w:r>
        <w:rPr>
          <w:color w:val="000000"/>
          <w:sz w:val="28"/>
          <w:szCs w:val="28"/>
        </w:rPr>
        <w:t xml:space="preserve"> – </w:t>
      </w:r>
      <w:hyperlink r:id="rId10">
        <w:r>
          <w:rPr>
            <w:color w:val="1155CC"/>
            <w:sz w:val="28"/>
            <w:szCs w:val="28"/>
            <w:u w:val="single"/>
          </w:rPr>
          <w:t>Estudiantes formularios)</w:t>
        </w:r>
      </w:hyperlink>
      <w:r>
        <w:rPr>
          <w:sz w:val="28"/>
          <w:szCs w:val="28"/>
        </w:rPr>
        <w:t xml:space="preserve">. Una copia para efectivizar la solicitud y la segunda copia para el/la estudiante como constancia de solicitud realizada. </w:t>
      </w:r>
    </w:p>
    <w:p w14:paraId="0000000E" w14:textId="29221620" w:rsidR="00E64318" w:rsidRDefault="008A08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nalítico actualizado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incompleto si es carrera en curso)</w:t>
      </w:r>
      <w:r>
        <w:rPr>
          <w:b/>
          <w:color w:val="000000"/>
          <w:sz w:val="28"/>
          <w:szCs w:val="28"/>
        </w:rPr>
        <w:t xml:space="preserve">, </w:t>
      </w:r>
      <w:r>
        <w:rPr>
          <w:b/>
          <w:sz w:val="28"/>
          <w:szCs w:val="28"/>
        </w:rPr>
        <w:t>firmado y sellado por el Equipo Directivo</w:t>
      </w:r>
      <w:r w:rsidR="00B30EE5">
        <w:rPr>
          <w:b/>
          <w:sz w:val="28"/>
          <w:szCs w:val="28"/>
        </w:rPr>
        <w:t xml:space="preserve"> de la institución emisora</w:t>
      </w:r>
      <w:r>
        <w:rPr>
          <w:b/>
          <w:sz w:val="28"/>
          <w:szCs w:val="28"/>
        </w:rPr>
        <w:t>.</w:t>
      </w:r>
    </w:p>
    <w:p w14:paraId="0000000F" w14:textId="77777777" w:rsidR="00E64318" w:rsidRDefault="00E6431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00000010" w14:textId="523333D2" w:rsidR="00E64318" w:rsidRDefault="008A08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Programas</w:t>
      </w:r>
      <w:r>
        <w:rPr>
          <w:sz w:val="28"/>
          <w:szCs w:val="28"/>
        </w:rPr>
        <w:t xml:space="preserve"> sellados y firmados</w:t>
      </w:r>
      <w:r w:rsidR="00B30EE5">
        <w:rPr>
          <w:sz w:val="28"/>
          <w:szCs w:val="28"/>
        </w:rPr>
        <w:t xml:space="preserve"> por la institución emisora</w:t>
      </w:r>
      <w:r>
        <w:rPr>
          <w:sz w:val="28"/>
          <w:szCs w:val="28"/>
        </w:rPr>
        <w:t>. En los mismos debe estar explícita la fecha de cursada de la UC en cuestión.</w:t>
      </w:r>
    </w:p>
    <w:p w14:paraId="00000011" w14:textId="77777777" w:rsidR="00E64318" w:rsidRDefault="008A08F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S</w:t>
      </w:r>
      <w:sdt>
        <w:sdtPr>
          <w:tag w:val="goog_rdk_4"/>
          <w:id w:val="1617331939"/>
        </w:sdtPr>
        <w:sdtEndPr/>
        <w:sdtContent>
          <w:commentRangeStart w:id="2"/>
        </w:sdtContent>
      </w:sdt>
      <w:r>
        <w:rPr>
          <w:sz w:val="28"/>
          <w:szCs w:val="28"/>
        </w:rPr>
        <w:t xml:space="preserve">egún el Art. 40 del RAM se estipula un plazo no mayor a 5 (cinco) años para considerar la vigencia de una unidad curricular cuando se acrediten estudios parciales (carreras incompletas) y, cuando las unidades curriculares aprobadas provengan de carreras completas, dicho plazo se extenderá a 10 (diez) años para estudiantes provenientes de otras instituciones,  públicas o privadas de nuestra u otras jurisdicciones. </w:t>
      </w:r>
      <w:commentRangeEnd w:id="2"/>
      <w:r>
        <w:commentReference w:id="2"/>
      </w:r>
    </w:p>
    <w:p w14:paraId="00000012" w14:textId="77777777" w:rsidR="00E64318" w:rsidRDefault="00E64318">
      <w:pPr>
        <w:rPr>
          <w:b/>
          <w:sz w:val="36"/>
          <w:szCs w:val="36"/>
          <w:u w:val="single"/>
        </w:rPr>
      </w:pPr>
    </w:p>
    <w:tbl>
      <w:tblPr>
        <w:tblStyle w:val="a1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E64318" w14:paraId="66D4461C" w14:textId="77777777">
        <w:tc>
          <w:tcPr>
            <w:tcW w:w="883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5"/>
              <w:id w:val="-249279010"/>
              <w:lock w:val="contentLocked"/>
            </w:sdtPr>
            <w:sdtEndPr/>
            <w:sdtContent>
              <w:p w14:paraId="00000013" w14:textId="77777777" w:rsidR="00E64318" w:rsidRDefault="008A08F4">
                <w:pPr>
                  <w:rPr>
                    <w:b/>
                    <w:sz w:val="36"/>
                    <w:szCs w:val="36"/>
                    <w:u w:val="single"/>
                  </w:rPr>
                </w:pPr>
                <w:r>
                  <w:rPr>
                    <w:b/>
                    <w:sz w:val="28"/>
                    <w:szCs w:val="28"/>
                  </w:rPr>
                  <w:t>2º) Dictamen.</w:t>
                </w:r>
              </w:p>
            </w:sdtContent>
          </w:sdt>
        </w:tc>
      </w:tr>
    </w:tbl>
    <w:p w14:paraId="00000014" w14:textId="77777777" w:rsidR="00E64318" w:rsidRDefault="00E6431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00000015" w14:textId="77777777" w:rsidR="00E64318" w:rsidRDefault="008A08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 partir de la evaluación de la documentación presentada, l</w:t>
      </w:r>
      <w:r>
        <w:rPr>
          <w:color w:val="000000"/>
          <w:sz w:val="28"/>
          <w:szCs w:val="28"/>
        </w:rPr>
        <w:t xml:space="preserve">os/as estudiantes </w:t>
      </w:r>
      <w:r>
        <w:rPr>
          <w:sz w:val="28"/>
          <w:szCs w:val="28"/>
        </w:rPr>
        <w:t>podrán</w:t>
      </w:r>
      <w:r>
        <w:rPr>
          <w:color w:val="000000"/>
          <w:sz w:val="28"/>
          <w:szCs w:val="28"/>
        </w:rPr>
        <w:t xml:space="preserve"> aprobar hasta el 75% del total de las </w:t>
      </w:r>
      <w:r>
        <w:rPr>
          <w:sz w:val="28"/>
          <w:szCs w:val="28"/>
        </w:rPr>
        <w:t xml:space="preserve">unidades curriculares del plan de estudios, </w:t>
      </w:r>
      <w:r>
        <w:rPr>
          <w:color w:val="000000"/>
          <w:sz w:val="28"/>
          <w:szCs w:val="28"/>
        </w:rPr>
        <w:t>según el ROM.</w:t>
      </w:r>
    </w:p>
    <w:p w14:paraId="00000016" w14:textId="515FC674" w:rsidR="00E64318" w:rsidRPr="004A23A8" w:rsidRDefault="008A08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P</w:t>
      </w:r>
      <w:r>
        <w:rPr>
          <w:color w:val="000000"/>
          <w:sz w:val="28"/>
          <w:szCs w:val="28"/>
        </w:rPr>
        <w:t>ara UC específicas</w:t>
      </w:r>
      <w:r>
        <w:rPr>
          <w:sz w:val="28"/>
          <w:szCs w:val="28"/>
        </w:rPr>
        <w:t>, si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se determina EQUIVALENCIA PARCIAL</w:t>
      </w:r>
      <w:r>
        <w:rPr>
          <w:color w:val="000000"/>
          <w:sz w:val="28"/>
          <w:szCs w:val="28"/>
        </w:rPr>
        <w:t>, el</w:t>
      </w:r>
      <w:r>
        <w:rPr>
          <w:sz w:val="28"/>
          <w:szCs w:val="28"/>
        </w:rPr>
        <w:t xml:space="preserve">/la </w:t>
      </w:r>
      <w:r>
        <w:rPr>
          <w:color w:val="000000"/>
          <w:sz w:val="28"/>
          <w:szCs w:val="28"/>
        </w:rPr>
        <w:t xml:space="preserve">estudiante </w:t>
      </w:r>
      <w:r>
        <w:rPr>
          <w:sz w:val="28"/>
          <w:szCs w:val="28"/>
        </w:rPr>
        <w:t>tendrá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1 (un) año a partir de la fecha de notificación para </w:t>
      </w:r>
      <w:sdt>
        <w:sdtPr>
          <w:tag w:val="goog_rdk_6"/>
          <w:id w:val="-1949305992"/>
        </w:sdtPr>
        <w:sdtEndPr/>
        <w:sdtContent>
          <w:commentRangeStart w:id="3"/>
        </w:sdtContent>
      </w:sdt>
      <w:r>
        <w:rPr>
          <w:b/>
          <w:sz w:val="28"/>
          <w:szCs w:val="28"/>
        </w:rPr>
        <w:t xml:space="preserve">acreditar los conocimientos faltantes a partir de los dispositivos que se le informen </w:t>
      </w:r>
      <w:r w:rsidRPr="004A23A8">
        <w:rPr>
          <w:color w:val="000000"/>
          <w:sz w:val="28"/>
          <w:szCs w:val="28"/>
        </w:rPr>
        <w:t>(coloquio, monografía, monografía y exposición oral, cursado de ejes pendientes de acreditación con su instancia evaluativa correspondiente)</w:t>
      </w:r>
      <w:commentRangeEnd w:id="3"/>
      <w:r w:rsidRPr="004A23A8">
        <w:rPr>
          <w:color w:val="000000"/>
          <w:sz w:val="28"/>
          <w:szCs w:val="28"/>
        </w:rPr>
        <w:commentReference w:id="3"/>
      </w:r>
      <w:r w:rsidR="004A23A8">
        <w:rPr>
          <w:color w:val="000000"/>
          <w:sz w:val="28"/>
          <w:szCs w:val="28"/>
        </w:rPr>
        <w:t>.</w:t>
      </w:r>
    </w:p>
    <w:p w14:paraId="00000017" w14:textId="77777777" w:rsidR="00E64318" w:rsidRPr="004A23A8" w:rsidRDefault="00E64318" w:rsidP="004A23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</w:p>
    <w:p w14:paraId="00000018" w14:textId="77777777" w:rsidR="00E64318" w:rsidRDefault="008A08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a- </w:t>
      </w:r>
      <w:r>
        <w:rPr>
          <w:b/>
          <w:color w:val="000000"/>
          <w:sz w:val="28"/>
          <w:szCs w:val="28"/>
        </w:rPr>
        <w:t>Acta Dictamen Equivalencias</w:t>
      </w:r>
      <w:r>
        <w:rPr>
          <w:color w:val="000000"/>
          <w:sz w:val="28"/>
          <w:szCs w:val="28"/>
        </w:rPr>
        <w:t xml:space="preserve"> para </w:t>
      </w:r>
      <w:r>
        <w:rPr>
          <w:sz w:val="28"/>
          <w:szCs w:val="28"/>
        </w:rPr>
        <w:t>EQUIVALENCIAS PLENAS Y PARCIALES.</w:t>
      </w:r>
      <w:r>
        <w:rPr>
          <w:color w:val="000000"/>
          <w:sz w:val="28"/>
          <w:szCs w:val="28"/>
        </w:rPr>
        <w:t xml:space="preserve"> </w:t>
      </w:r>
    </w:p>
    <w:p w14:paraId="00000019" w14:textId="77777777" w:rsidR="00E64318" w:rsidRDefault="008A08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Equivalencias automáticas</w:t>
      </w:r>
      <w:r>
        <w:rPr>
          <w:color w:val="000000"/>
          <w:sz w:val="28"/>
          <w:szCs w:val="28"/>
        </w:rPr>
        <w:t>:</w:t>
      </w:r>
    </w:p>
    <w:p w14:paraId="585B83AA" w14:textId="7C9E4F0A" w:rsidR="00C565B2" w:rsidRDefault="008A08F4" w:rsidP="00746D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C565B2">
        <w:rPr>
          <w:color w:val="000000"/>
          <w:sz w:val="28"/>
          <w:szCs w:val="28"/>
        </w:rPr>
        <w:t>Permite</w:t>
      </w:r>
      <w:r w:rsidR="00656BC2">
        <w:rPr>
          <w:color w:val="000000"/>
          <w:sz w:val="28"/>
          <w:szCs w:val="28"/>
        </w:rPr>
        <w:t xml:space="preserve"> adecuar las</w:t>
      </w:r>
      <w:r w:rsidR="00C565B2" w:rsidRPr="00C565B2">
        <w:rPr>
          <w:color w:val="000000"/>
          <w:sz w:val="28"/>
          <w:szCs w:val="28"/>
        </w:rPr>
        <w:t xml:space="preserve"> trayectorias a las nuevas resoluciones/p</w:t>
      </w:r>
      <w:r w:rsidR="00C565B2">
        <w:rPr>
          <w:color w:val="000000"/>
          <w:sz w:val="28"/>
          <w:szCs w:val="28"/>
        </w:rPr>
        <w:t>la</w:t>
      </w:r>
      <w:r w:rsidR="00C565B2" w:rsidRPr="00C565B2">
        <w:rPr>
          <w:color w:val="000000"/>
          <w:sz w:val="28"/>
          <w:szCs w:val="28"/>
        </w:rPr>
        <w:t>n</w:t>
      </w:r>
      <w:r w:rsidR="00C565B2">
        <w:rPr>
          <w:color w:val="000000"/>
          <w:sz w:val="28"/>
          <w:szCs w:val="28"/>
        </w:rPr>
        <w:t>e</w:t>
      </w:r>
      <w:r w:rsidR="00C565B2" w:rsidRPr="00C565B2">
        <w:rPr>
          <w:color w:val="000000"/>
          <w:sz w:val="28"/>
          <w:szCs w:val="28"/>
        </w:rPr>
        <w:t>s de estudio.</w:t>
      </w:r>
    </w:p>
    <w:p w14:paraId="0000001B" w14:textId="29306E5D" w:rsidR="00E64318" w:rsidRPr="00C565B2" w:rsidRDefault="008A08F4" w:rsidP="00746D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C565B2">
        <w:rPr>
          <w:color w:val="000000"/>
          <w:sz w:val="28"/>
          <w:szCs w:val="28"/>
        </w:rPr>
        <w:t xml:space="preserve">Permite establecer equivalencias entre unidades curriculares, por pertenecer al Campo de la Formación General (CFG) que se consideran </w:t>
      </w:r>
      <w:r w:rsidRPr="00C565B2">
        <w:rPr>
          <w:color w:val="000000"/>
          <w:sz w:val="28"/>
          <w:szCs w:val="28"/>
        </w:rPr>
        <w:lastRenderedPageBreak/>
        <w:t>común para todas las carreras</w:t>
      </w:r>
      <w:r w:rsidR="002F3B53">
        <w:rPr>
          <w:color w:val="000000"/>
          <w:sz w:val="28"/>
          <w:szCs w:val="28"/>
        </w:rPr>
        <w:t xml:space="preserve"> (para las equivalencias que se procedan con Res. 1065 Ministerio de Educación </w:t>
      </w:r>
      <w:r w:rsidR="00EB39E1">
        <w:rPr>
          <w:color w:val="000000"/>
          <w:sz w:val="28"/>
          <w:szCs w:val="28"/>
        </w:rPr>
        <w:t>–</w:t>
      </w:r>
      <w:r w:rsidR="002F3B53">
        <w:rPr>
          <w:color w:val="000000"/>
          <w:sz w:val="28"/>
          <w:szCs w:val="28"/>
        </w:rPr>
        <w:t xml:space="preserve"> Chubut</w:t>
      </w:r>
      <w:r w:rsidR="00EB39E1">
        <w:rPr>
          <w:color w:val="000000"/>
          <w:sz w:val="28"/>
          <w:szCs w:val="28"/>
        </w:rPr>
        <w:t>)</w:t>
      </w:r>
      <w:r w:rsidRPr="00C565B2">
        <w:rPr>
          <w:color w:val="000000"/>
          <w:sz w:val="28"/>
          <w:szCs w:val="28"/>
        </w:rPr>
        <w:t>.</w:t>
      </w:r>
    </w:p>
    <w:p w14:paraId="0000001C" w14:textId="0E45B2A6" w:rsidR="00E64318" w:rsidRDefault="00EB39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siguiente tabla es válida</w:t>
      </w:r>
      <w:r w:rsidR="008A08F4">
        <w:rPr>
          <w:color w:val="000000"/>
          <w:sz w:val="28"/>
          <w:szCs w:val="28"/>
        </w:rPr>
        <w:t xml:space="preserve"> para todas las ofertas de la jurisdicción de Formación Docente Inicial</w:t>
      </w:r>
      <w:r>
        <w:rPr>
          <w:color w:val="000000"/>
          <w:sz w:val="28"/>
          <w:szCs w:val="28"/>
        </w:rPr>
        <w:t xml:space="preserve"> de la Prov. de Chubut (Res. 1065)</w:t>
      </w:r>
      <w:r w:rsidR="008A08F4">
        <w:rPr>
          <w:color w:val="000000"/>
          <w:sz w:val="28"/>
          <w:szCs w:val="28"/>
        </w:rPr>
        <w:t>.</w:t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E64318" w14:paraId="63942F2D" w14:textId="77777777">
        <w:tc>
          <w:tcPr>
            <w:tcW w:w="4414" w:type="dxa"/>
          </w:tcPr>
          <w:p w14:paraId="0000001D" w14:textId="77777777" w:rsidR="00E64318" w:rsidRDefault="008A08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Unidad Curricular</w:t>
            </w:r>
          </w:p>
        </w:tc>
        <w:tc>
          <w:tcPr>
            <w:tcW w:w="4414" w:type="dxa"/>
          </w:tcPr>
          <w:p w14:paraId="0000001E" w14:textId="77777777" w:rsidR="00E64318" w:rsidRDefault="008A08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Es equivalente a la UC</w:t>
            </w:r>
          </w:p>
        </w:tc>
      </w:tr>
      <w:tr w:rsidR="00E64318" w14:paraId="46E2CA22" w14:textId="77777777">
        <w:tc>
          <w:tcPr>
            <w:tcW w:w="4414" w:type="dxa"/>
          </w:tcPr>
          <w:p w14:paraId="0000001F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Lectura y escritura académica</w:t>
            </w:r>
          </w:p>
        </w:tc>
        <w:tc>
          <w:tcPr>
            <w:tcW w:w="4414" w:type="dxa"/>
          </w:tcPr>
          <w:p w14:paraId="00000020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Lectura y escritura académica (de todas las carreras de la formación docente inicial de la jurisdicción)</w:t>
            </w:r>
          </w:p>
        </w:tc>
      </w:tr>
      <w:tr w:rsidR="00E64318" w14:paraId="05714CB4" w14:textId="77777777">
        <w:tc>
          <w:tcPr>
            <w:tcW w:w="4414" w:type="dxa"/>
          </w:tcPr>
          <w:p w14:paraId="00000021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Psicología Educacional</w:t>
            </w:r>
          </w:p>
        </w:tc>
        <w:tc>
          <w:tcPr>
            <w:tcW w:w="4414" w:type="dxa"/>
          </w:tcPr>
          <w:p w14:paraId="00000022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Psicología Educacional (de todas las carreras de la formación docente inicial de la jurisdicción)</w:t>
            </w:r>
          </w:p>
        </w:tc>
      </w:tr>
      <w:tr w:rsidR="00E64318" w14:paraId="66983A67" w14:textId="77777777">
        <w:tc>
          <w:tcPr>
            <w:tcW w:w="4414" w:type="dxa"/>
          </w:tcPr>
          <w:p w14:paraId="00000023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Pedagogía </w:t>
            </w:r>
          </w:p>
        </w:tc>
        <w:tc>
          <w:tcPr>
            <w:tcW w:w="4414" w:type="dxa"/>
          </w:tcPr>
          <w:p w14:paraId="00000024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Pedagogía (de todas las carreras de la formación docente inicial de la jurisdicción)</w:t>
            </w:r>
          </w:p>
        </w:tc>
      </w:tr>
      <w:tr w:rsidR="00E64318" w14:paraId="79057747" w14:textId="77777777">
        <w:tc>
          <w:tcPr>
            <w:tcW w:w="4414" w:type="dxa"/>
          </w:tcPr>
          <w:p w14:paraId="00000025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Didáctica general</w:t>
            </w:r>
          </w:p>
        </w:tc>
        <w:tc>
          <w:tcPr>
            <w:tcW w:w="4414" w:type="dxa"/>
          </w:tcPr>
          <w:p w14:paraId="00000026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Didáctica General (de todas las carreras de la formación docente inicial de la jurisdicción)</w:t>
            </w:r>
          </w:p>
        </w:tc>
      </w:tr>
      <w:tr w:rsidR="00E64318" w14:paraId="61BDD447" w14:textId="77777777">
        <w:tc>
          <w:tcPr>
            <w:tcW w:w="4414" w:type="dxa"/>
          </w:tcPr>
          <w:p w14:paraId="00000027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 y Política de la Educación Argentina</w:t>
            </w:r>
          </w:p>
        </w:tc>
        <w:tc>
          <w:tcPr>
            <w:tcW w:w="4414" w:type="dxa"/>
          </w:tcPr>
          <w:p w14:paraId="00000028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 y Política de la Educación Argentina (de todas las carreras de la formación docente inicial de la jurisdicción)</w:t>
            </w:r>
          </w:p>
        </w:tc>
      </w:tr>
      <w:tr w:rsidR="00E64318" w14:paraId="4A85A0CD" w14:textId="77777777">
        <w:tc>
          <w:tcPr>
            <w:tcW w:w="4414" w:type="dxa"/>
          </w:tcPr>
          <w:p w14:paraId="00000029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Educación Sexual Integral </w:t>
            </w:r>
          </w:p>
        </w:tc>
        <w:tc>
          <w:tcPr>
            <w:tcW w:w="4414" w:type="dxa"/>
          </w:tcPr>
          <w:p w14:paraId="0000002A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Educación Sexual Integral ((de todas las carreras de la formación docente inicial de la jurisdicción)</w:t>
            </w:r>
          </w:p>
        </w:tc>
      </w:tr>
      <w:tr w:rsidR="00E64318" w14:paraId="0376BFBA" w14:textId="77777777">
        <w:trPr>
          <w:trHeight w:val="90"/>
        </w:trPr>
        <w:tc>
          <w:tcPr>
            <w:tcW w:w="4414" w:type="dxa"/>
          </w:tcPr>
          <w:p w14:paraId="0000002B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Derechos Humanos y Ciudadanía</w:t>
            </w:r>
          </w:p>
        </w:tc>
        <w:tc>
          <w:tcPr>
            <w:tcW w:w="4414" w:type="dxa"/>
          </w:tcPr>
          <w:p w14:paraId="0000002C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Derechos  Humanos y Ciudadanía ((de todas las carreras de la formación docente inicial de la jurisdicción)</w:t>
            </w:r>
          </w:p>
        </w:tc>
      </w:tr>
      <w:tr w:rsidR="00E64318" w14:paraId="7DA60195" w14:textId="77777777">
        <w:trPr>
          <w:trHeight w:val="90"/>
        </w:trPr>
        <w:tc>
          <w:tcPr>
            <w:tcW w:w="4414" w:type="dxa"/>
          </w:tcPr>
          <w:p w14:paraId="0000002D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Sociología de la Educación</w:t>
            </w:r>
          </w:p>
        </w:tc>
        <w:tc>
          <w:tcPr>
            <w:tcW w:w="4414" w:type="dxa"/>
          </w:tcPr>
          <w:p w14:paraId="0000002E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Sociología de la educación ((de todas las carreras de la formación docente inicial de la jurisdicción)</w:t>
            </w:r>
          </w:p>
        </w:tc>
      </w:tr>
      <w:tr w:rsidR="00E64318" w14:paraId="6497A81D" w14:textId="77777777">
        <w:trPr>
          <w:trHeight w:val="90"/>
        </w:trPr>
        <w:tc>
          <w:tcPr>
            <w:tcW w:w="4414" w:type="dxa"/>
          </w:tcPr>
          <w:p w14:paraId="0000002F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Educación Digital</w:t>
            </w:r>
          </w:p>
        </w:tc>
        <w:tc>
          <w:tcPr>
            <w:tcW w:w="4414" w:type="dxa"/>
          </w:tcPr>
          <w:p w14:paraId="00000030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Educación Digital (de todas las carreras de la formación docente inicial de la jurisdicción)</w:t>
            </w:r>
          </w:p>
        </w:tc>
      </w:tr>
      <w:tr w:rsidR="00E64318" w14:paraId="29194B76" w14:textId="77777777">
        <w:trPr>
          <w:trHeight w:val="90"/>
        </w:trPr>
        <w:tc>
          <w:tcPr>
            <w:tcW w:w="4414" w:type="dxa"/>
          </w:tcPr>
          <w:p w14:paraId="00000031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Filosofía de la Educación</w:t>
            </w:r>
          </w:p>
        </w:tc>
        <w:tc>
          <w:tcPr>
            <w:tcW w:w="4414" w:type="dxa"/>
          </w:tcPr>
          <w:p w14:paraId="00000032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Filosofía de la Educación (de todas las carreras de la formación docente inicial de la jurisdicción)</w:t>
            </w:r>
          </w:p>
        </w:tc>
      </w:tr>
      <w:tr w:rsidR="00E64318" w14:paraId="4A70A90F" w14:textId="77777777">
        <w:trPr>
          <w:trHeight w:val="90"/>
        </w:trPr>
        <w:tc>
          <w:tcPr>
            <w:tcW w:w="4414" w:type="dxa"/>
          </w:tcPr>
          <w:p w14:paraId="00000033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UDI I y/o  II del CFG</w:t>
            </w:r>
          </w:p>
        </w:tc>
        <w:tc>
          <w:tcPr>
            <w:tcW w:w="4414" w:type="dxa"/>
          </w:tcPr>
          <w:p w14:paraId="00000034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UDI I y/o II del CFG (de todas las carreras de la formación docente inicial de la jurisdicción) </w:t>
            </w:r>
          </w:p>
        </w:tc>
      </w:tr>
      <w:tr w:rsidR="00E64318" w14:paraId="5F129152" w14:textId="77777777">
        <w:trPr>
          <w:trHeight w:val="90"/>
        </w:trPr>
        <w:tc>
          <w:tcPr>
            <w:tcW w:w="4414" w:type="dxa"/>
          </w:tcPr>
          <w:p w14:paraId="00000035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Educación y TIC</w:t>
            </w:r>
          </w:p>
        </w:tc>
        <w:tc>
          <w:tcPr>
            <w:tcW w:w="4414" w:type="dxa"/>
          </w:tcPr>
          <w:p w14:paraId="00000036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Educación y TIC (de todas las carreras de la formación docente inicial de la jurisdicción).</w:t>
            </w:r>
          </w:p>
          <w:p w14:paraId="00000037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Tecnologías de la información y la Comunicación. (de la carrera de Profesorado de educación especial en discapacidad intelectual).</w:t>
            </w:r>
          </w:p>
          <w:p w14:paraId="00000038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 </w:t>
            </w:r>
            <w:proofErr w:type="spellStart"/>
            <w:r>
              <w:rPr>
                <w:sz w:val="28"/>
                <w:szCs w:val="28"/>
              </w:rPr>
              <w:t>TICs</w:t>
            </w:r>
            <w:proofErr w:type="spellEnd"/>
            <w:r>
              <w:rPr>
                <w:sz w:val="28"/>
                <w:szCs w:val="28"/>
              </w:rPr>
              <w:t xml:space="preserve"> para la enseñanza  (de la carrera de Profesorado de artes visuales)</w:t>
            </w:r>
          </w:p>
        </w:tc>
      </w:tr>
      <w:tr w:rsidR="00E64318" w14:paraId="665DCDB4" w14:textId="77777777">
        <w:trPr>
          <w:trHeight w:val="90"/>
        </w:trPr>
        <w:tc>
          <w:tcPr>
            <w:tcW w:w="4414" w:type="dxa"/>
          </w:tcPr>
          <w:p w14:paraId="00000039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Investigación Educativa</w:t>
            </w:r>
          </w:p>
          <w:p w14:paraId="0000003A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Investigación Educativa I y/o II</w:t>
            </w:r>
          </w:p>
        </w:tc>
        <w:tc>
          <w:tcPr>
            <w:tcW w:w="4414" w:type="dxa"/>
          </w:tcPr>
          <w:p w14:paraId="0000003B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Investigación Educativa (de todas las carreras de la formación docente inicial de la jurisdicción).</w:t>
            </w:r>
          </w:p>
          <w:p w14:paraId="0000003C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Investigación educativa I y/o II (Profesorado de música).</w:t>
            </w:r>
          </w:p>
        </w:tc>
      </w:tr>
      <w:tr w:rsidR="00E64318" w14:paraId="37A96734" w14:textId="77777777">
        <w:trPr>
          <w:trHeight w:val="90"/>
        </w:trPr>
        <w:tc>
          <w:tcPr>
            <w:tcW w:w="4414" w:type="dxa"/>
          </w:tcPr>
          <w:p w14:paraId="0000003D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Problemática Socio Cultural y Diversidad</w:t>
            </w:r>
          </w:p>
        </w:tc>
        <w:tc>
          <w:tcPr>
            <w:tcW w:w="4414" w:type="dxa"/>
          </w:tcPr>
          <w:p w14:paraId="0000003E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Problemática Socio Cultural y Diversidad (de todas las carreras de la formación docente inicial de la jurisdicción).</w:t>
            </w:r>
          </w:p>
        </w:tc>
      </w:tr>
      <w:tr w:rsidR="00E64318" w14:paraId="78E9168C" w14:textId="77777777">
        <w:trPr>
          <w:trHeight w:val="90"/>
        </w:trPr>
        <w:tc>
          <w:tcPr>
            <w:tcW w:w="4414" w:type="dxa"/>
          </w:tcPr>
          <w:p w14:paraId="0000003F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DDHH y Educación </w:t>
            </w:r>
          </w:p>
        </w:tc>
        <w:tc>
          <w:tcPr>
            <w:tcW w:w="4414" w:type="dxa"/>
          </w:tcPr>
          <w:p w14:paraId="00000040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DDHH y Educación (de todas las carreras de la formación docente inicial de la jurisdicción).</w:t>
            </w:r>
          </w:p>
        </w:tc>
      </w:tr>
      <w:tr w:rsidR="00E64318" w14:paraId="2112DED7" w14:textId="77777777">
        <w:trPr>
          <w:trHeight w:val="90"/>
        </w:trPr>
        <w:tc>
          <w:tcPr>
            <w:tcW w:w="4414" w:type="dxa"/>
          </w:tcPr>
          <w:p w14:paraId="00000041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Estética </w:t>
            </w:r>
          </w:p>
        </w:tc>
        <w:tc>
          <w:tcPr>
            <w:tcW w:w="4414" w:type="dxa"/>
          </w:tcPr>
          <w:p w14:paraId="00000042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Estética (de la carrera del Profesorado de música).</w:t>
            </w:r>
          </w:p>
        </w:tc>
      </w:tr>
      <w:tr w:rsidR="00E64318" w14:paraId="6BFB99D2" w14:textId="77777777">
        <w:trPr>
          <w:trHeight w:val="90"/>
        </w:trPr>
        <w:tc>
          <w:tcPr>
            <w:tcW w:w="4414" w:type="dxa"/>
          </w:tcPr>
          <w:p w14:paraId="00000043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Ética Profesional</w:t>
            </w:r>
          </w:p>
        </w:tc>
        <w:tc>
          <w:tcPr>
            <w:tcW w:w="4414" w:type="dxa"/>
          </w:tcPr>
          <w:p w14:paraId="00000044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Ética Profesional (de la carrera del Profesorado de música).</w:t>
            </w:r>
          </w:p>
        </w:tc>
      </w:tr>
      <w:tr w:rsidR="00E64318" w14:paraId="2E490494" w14:textId="77777777">
        <w:trPr>
          <w:trHeight w:val="90"/>
        </w:trPr>
        <w:tc>
          <w:tcPr>
            <w:tcW w:w="4414" w:type="dxa"/>
          </w:tcPr>
          <w:p w14:paraId="00000045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Problemática Socio Cultural y Diversidad  </w:t>
            </w:r>
          </w:p>
        </w:tc>
        <w:tc>
          <w:tcPr>
            <w:tcW w:w="4414" w:type="dxa"/>
          </w:tcPr>
          <w:p w14:paraId="00000046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Problemática Socio Cultural y Diversidad  (de la carrera del Profesorado de música).</w:t>
            </w:r>
          </w:p>
        </w:tc>
      </w:tr>
      <w:tr w:rsidR="00E64318" w14:paraId="42415BD6" w14:textId="77777777">
        <w:trPr>
          <w:trHeight w:val="90"/>
        </w:trPr>
        <w:tc>
          <w:tcPr>
            <w:tcW w:w="4414" w:type="dxa"/>
          </w:tcPr>
          <w:p w14:paraId="00000047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Psicología del Desarrollo </w:t>
            </w:r>
          </w:p>
        </w:tc>
        <w:tc>
          <w:tcPr>
            <w:tcW w:w="4414" w:type="dxa"/>
          </w:tcPr>
          <w:p w14:paraId="00000048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Psicología del Desarrollo (de la carrera del Profesorado de educación inicial).</w:t>
            </w:r>
          </w:p>
        </w:tc>
      </w:tr>
      <w:tr w:rsidR="00E64318" w14:paraId="606CF1D0" w14:textId="77777777">
        <w:trPr>
          <w:trHeight w:val="90"/>
        </w:trPr>
        <w:tc>
          <w:tcPr>
            <w:tcW w:w="4414" w:type="dxa"/>
          </w:tcPr>
          <w:p w14:paraId="00000049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Sistematización de Experiencias Pedagógicas </w:t>
            </w:r>
          </w:p>
        </w:tc>
        <w:tc>
          <w:tcPr>
            <w:tcW w:w="4414" w:type="dxa"/>
          </w:tcPr>
          <w:p w14:paraId="0000004A" w14:textId="77777777" w:rsidR="00E64318" w:rsidRDefault="008A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Sistematización de Experiencias Pedagógicas (de la carrera del Profesorado de educación primaria y de educación inicial).</w:t>
            </w:r>
          </w:p>
        </w:tc>
      </w:tr>
    </w:tbl>
    <w:p w14:paraId="0000004B" w14:textId="77777777" w:rsidR="00E64318" w:rsidRDefault="00E64318">
      <w:pPr>
        <w:rPr>
          <w:sz w:val="28"/>
          <w:szCs w:val="28"/>
        </w:rPr>
      </w:pPr>
    </w:p>
    <w:p w14:paraId="0000004C" w14:textId="77777777" w:rsidR="00E64318" w:rsidRDefault="00E64318">
      <w:pPr>
        <w:rPr>
          <w:b/>
          <w:sz w:val="36"/>
          <w:szCs w:val="36"/>
          <w:u w:val="single"/>
        </w:rPr>
      </w:pPr>
    </w:p>
    <w:tbl>
      <w:tblPr>
        <w:tblStyle w:val="a3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E64318" w14:paraId="4E85A6EE" w14:textId="77777777">
        <w:tc>
          <w:tcPr>
            <w:tcW w:w="883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7"/>
              <w:id w:val="-255672831"/>
              <w:lock w:val="contentLocked"/>
            </w:sdtPr>
            <w:sdtEndPr/>
            <w:sdtContent>
              <w:p w14:paraId="0000004D" w14:textId="77777777" w:rsidR="00E64318" w:rsidRDefault="008A08F4">
                <w:pPr>
                  <w:rPr>
                    <w:b/>
                    <w:sz w:val="36"/>
                    <w:szCs w:val="36"/>
                    <w:u w:val="single"/>
                  </w:rPr>
                </w:pPr>
                <w:r>
                  <w:rPr>
                    <w:b/>
                    <w:sz w:val="28"/>
                    <w:szCs w:val="28"/>
                  </w:rPr>
                  <w:t>3º) Disposición.</w:t>
                </w:r>
              </w:p>
            </w:sdtContent>
          </w:sdt>
        </w:tc>
      </w:tr>
    </w:tbl>
    <w:p w14:paraId="0000004E" w14:textId="77777777" w:rsidR="00E64318" w:rsidRDefault="00E64318">
      <w:pPr>
        <w:rPr>
          <w:sz w:val="28"/>
          <w:szCs w:val="28"/>
        </w:rPr>
      </w:pPr>
    </w:p>
    <w:p w14:paraId="0000004F" w14:textId="77777777" w:rsidR="00E64318" w:rsidRDefault="008A08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Disposición</w:t>
      </w:r>
      <w:r>
        <w:rPr>
          <w:color w:val="000000"/>
          <w:sz w:val="28"/>
          <w:szCs w:val="28"/>
        </w:rPr>
        <w:t>, se otorga</w:t>
      </w:r>
      <w:r>
        <w:rPr>
          <w:sz w:val="28"/>
          <w:szCs w:val="28"/>
        </w:rPr>
        <w:t>rán</w:t>
      </w:r>
      <w:r>
        <w:rPr>
          <w:color w:val="000000"/>
          <w:sz w:val="28"/>
          <w:szCs w:val="28"/>
        </w:rPr>
        <w:t xml:space="preserve"> las </w:t>
      </w:r>
      <w:r>
        <w:rPr>
          <w:sz w:val="28"/>
          <w:szCs w:val="28"/>
        </w:rPr>
        <w:t xml:space="preserve">EQUIVALENCIAS PLENAS Y APROBADAS; por </w:t>
      </w:r>
      <w:r>
        <w:rPr>
          <w:sz w:val="28"/>
          <w:szCs w:val="28"/>
          <w:u w:val="single"/>
        </w:rPr>
        <w:t>du</w:t>
      </w:r>
      <w:r>
        <w:rPr>
          <w:color w:val="000000"/>
          <w:sz w:val="28"/>
          <w:szCs w:val="28"/>
          <w:u w:val="single"/>
        </w:rPr>
        <w:t>plicado</w:t>
      </w:r>
      <w:r>
        <w:rPr>
          <w:color w:val="000000"/>
          <w:sz w:val="28"/>
          <w:szCs w:val="28"/>
        </w:rPr>
        <w:t xml:space="preserve"> (una copia para legajo, otra copia para el/la estudiante).</w:t>
      </w:r>
    </w:p>
    <w:p w14:paraId="00000050" w14:textId="77777777" w:rsidR="00E64318" w:rsidRDefault="00E643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</w:p>
    <w:p w14:paraId="00000051" w14:textId="77777777" w:rsidR="00E64318" w:rsidRDefault="008A08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Se realizarán Anexos para las equivalencias parciales.</w:t>
      </w:r>
    </w:p>
    <w:p w14:paraId="00000052" w14:textId="77777777" w:rsidR="00E64318" w:rsidRDefault="00E64318">
      <w:pPr>
        <w:rPr>
          <w:sz w:val="28"/>
          <w:szCs w:val="28"/>
        </w:rPr>
      </w:pPr>
      <w:bookmarkStart w:id="4" w:name="_heading=h.gjdgxs" w:colFirst="0" w:colLast="0"/>
      <w:bookmarkEnd w:id="4"/>
    </w:p>
    <w:p w14:paraId="00000053" w14:textId="77777777" w:rsidR="00E64318" w:rsidRDefault="00E64318">
      <w:pPr>
        <w:rPr>
          <w:sz w:val="28"/>
          <w:szCs w:val="28"/>
        </w:rPr>
      </w:pPr>
    </w:p>
    <w:p w14:paraId="00000054" w14:textId="77777777" w:rsidR="00E64318" w:rsidRDefault="00E64318">
      <w:pPr>
        <w:pBdr>
          <w:top w:val="nil"/>
          <w:left w:val="nil"/>
          <w:bottom w:val="nil"/>
          <w:right w:val="nil"/>
          <w:between w:val="nil"/>
        </w:pBdr>
        <w:ind w:left="420"/>
        <w:rPr>
          <w:color w:val="000000"/>
          <w:sz w:val="28"/>
          <w:szCs w:val="28"/>
        </w:rPr>
      </w:pPr>
    </w:p>
    <w:sectPr w:rsidR="00E64318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oordinación de carrera Prof de Lengua y Literatura" w:date="2024-07-31T14:02:00Z" w:initials="">
    <w:p w14:paraId="0000005B" w14:textId="77777777" w:rsidR="00E64318" w:rsidRDefault="008A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Agrego aquí enlace, para facilitar acceso, pero no está actualizado el formulario de solicitud de equivalencias. Habíamos editado la solicitud.</w:t>
      </w:r>
    </w:p>
    <w:p w14:paraId="0000005C" w14:textId="77777777" w:rsidR="00E64318" w:rsidRDefault="00E643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5D" w14:textId="77777777" w:rsidR="00E64318" w:rsidRDefault="008A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Esta es la última versión </w:t>
      </w:r>
    </w:p>
    <w:p w14:paraId="0000005E" w14:textId="77777777" w:rsidR="00E64318" w:rsidRDefault="008A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https://docs.google.com/document/d/12oqMA5LD95nh49Ujysp4lRQ0qTzUCLfC/edit</w:t>
      </w:r>
    </w:p>
    <w:p w14:paraId="0000005F" w14:textId="77777777" w:rsidR="00E64318" w:rsidRDefault="00E643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60" w14:textId="77777777" w:rsidR="00E64318" w:rsidRDefault="008A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Habría que actualizar en página institucional.</w:t>
      </w:r>
    </w:p>
  </w:comment>
  <w:comment w:id="2" w:author="Coordinación de carrera Prof de Lengua y Literatura" w:date="2024-07-31T13:57:00Z" w:initials="">
    <w:p w14:paraId="00000061" w14:textId="77777777" w:rsidR="00E64318" w:rsidRDefault="008A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Considero importante incorporar esta aclaración. </w:t>
      </w:r>
    </w:p>
    <w:p w14:paraId="00000062" w14:textId="77777777" w:rsidR="00E64318" w:rsidRDefault="008A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caso de que el/la estudiante provenga de nuestra institución se debería ajustar la validez según el Plan de </w:t>
      </w:r>
      <w:proofErr w:type="spellStart"/>
      <w:r>
        <w:rPr>
          <w:rFonts w:ascii="Arial" w:eastAsia="Arial" w:hAnsi="Arial" w:cs="Arial"/>
          <w:color w:val="000000"/>
        </w:rPr>
        <w:t>terminalidad</w:t>
      </w:r>
      <w:proofErr w:type="spellEnd"/>
      <w:r>
        <w:rPr>
          <w:rFonts w:ascii="Arial" w:eastAsia="Arial" w:hAnsi="Arial" w:cs="Arial"/>
          <w:color w:val="000000"/>
        </w:rPr>
        <w:t>, pero es una excepción que debería ser comentada al momento de recibir la solicitud. Para no generar confusiones aquí.</w:t>
      </w:r>
    </w:p>
  </w:comment>
  <w:comment w:id="3" w:author="Coordinación de carrera Prof de Lengua y Literatura" w:date="2024-07-31T13:58:00Z" w:initials="">
    <w:p w14:paraId="00000063" w14:textId="77777777" w:rsidR="00E64318" w:rsidRDefault="008A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Agrego esto según lo establecido en </w:t>
      </w:r>
      <w:proofErr w:type="spellStart"/>
      <w:r>
        <w:rPr>
          <w:rFonts w:ascii="Arial" w:eastAsia="Arial" w:hAnsi="Arial" w:cs="Arial"/>
          <w:color w:val="000000"/>
        </w:rPr>
        <w:t>doc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DICTamen</w:t>
      </w:r>
      <w:proofErr w:type="spellEnd"/>
      <w:r>
        <w:rPr>
          <w:rFonts w:ascii="Arial" w:eastAsia="Arial" w:hAnsi="Arial" w:cs="Arial"/>
          <w:color w:val="00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60" w15:done="0"/>
  <w15:commentEx w15:paraId="00000062" w15:done="0"/>
  <w15:commentEx w15:paraId="0000006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96F55" w14:textId="77777777" w:rsidR="00EE1959" w:rsidRDefault="00EE1959">
      <w:pPr>
        <w:spacing w:after="0" w:line="240" w:lineRule="auto"/>
      </w:pPr>
      <w:r>
        <w:separator/>
      </w:r>
    </w:p>
  </w:endnote>
  <w:endnote w:type="continuationSeparator" w:id="0">
    <w:p w14:paraId="18A58E1E" w14:textId="77777777" w:rsidR="00EE1959" w:rsidRDefault="00EE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2DE78" w14:textId="77777777" w:rsidR="00EE1959" w:rsidRDefault="00EE1959">
      <w:pPr>
        <w:spacing w:after="0" w:line="240" w:lineRule="auto"/>
      </w:pPr>
      <w:r>
        <w:separator/>
      </w:r>
    </w:p>
  </w:footnote>
  <w:footnote w:type="continuationSeparator" w:id="0">
    <w:p w14:paraId="259E2A2F" w14:textId="77777777" w:rsidR="00EE1959" w:rsidRDefault="00EE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5" w14:textId="77777777" w:rsidR="00E64318" w:rsidRDefault="008A08F4">
    <w:pPr>
      <w:spacing w:after="0"/>
      <w:ind w:left="-1250" w:right="-220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285750</wp:posOffset>
              </wp:positionH>
              <wp:positionV relativeFrom="page">
                <wp:posOffset>190500</wp:posOffset>
              </wp:positionV>
              <wp:extent cx="1970405" cy="676275"/>
              <wp:effectExtent l="0" t="0" r="0" b="0"/>
              <wp:wrapSquare wrapText="bothSides" distT="0" distB="0" distL="114300" distR="114300"/>
              <wp:docPr id="716793182" name="Grupo 7167931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0405" cy="676275"/>
                        <a:chOff x="4360775" y="3441850"/>
                        <a:chExt cx="1970450" cy="676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360798" y="3441863"/>
                          <a:ext cx="1970405" cy="676275"/>
                          <a:chOff x="0" y="0"/>
                          <a:chExt cx="1970278" cy="67627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1970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645D9A" w14:textId="77777777" w:rsidR="00E64318" w:rsidRDefault="00E6431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793547" y="18287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2A6A5C" w14:textId="77777777" w:rsidR="00E64318" w:rsidRDefault="008A08F4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793547" y="189230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C09040" w14:textId="77777777" w:rsidR="00E64318" w:rsidRDefault="008A08F4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793547" y="359918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CEAC46" w14:textId="77777777" w:rsidR="00E64318" w:rsidRDefault="008A08F4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70278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285750</wp:posOffset>
              </wp:positionH>
              <wp:positionV relativeFrom="page">
                <wp:posOffset>190500</wp:posOffset>
              </wp:positionV>
              <wp:extent cx="1970405" cy="676275"/>
              <wp:effectExtent b="0" l="0" r="0" t="0"/>
              <wp:wrapSquare wrapText="bothSides" distB="0" distT="0" distL="114300" distR="114300"/>
              <wp:docPr id="71679318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0405" cy="676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tab/>
    </w:r>
    <w:r>
      <w:tab/>
      <w:t xml:space="preserve"> </w:t>
    </w:r>
    <w:r>
      <w:tab/>
      <w:t xml:space="preserve"> </w:t>
    </w:r>
    <w:r>
      <w:rPr>
        <w:noProof/>
        <w:lang w:val="en-US"/>
      </w:rPr>
      <w:drawing>
        <wp:inline distT="114300" distB="114300" distL="114300" distR="114300">
          <wp:extent cx="675322" cy="675322"/>
          <wp:effectExtent l="0" t="0" r="0" b="0"/>
          <wp:docPr id="71679318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322" cy="6753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56" w14:textId="77777777" w:rsidR="00E64318" w:rsidRDefault="008A08F4">
    <w:pPr>
      <w:spacing w:after="0"/>
    </w:pPr>
    <w:r>
      <w:t xml:space="preserve"> </w:t>
    </w:r>
  </w:p>
  <w:p w14:paraId="00000057" w14:textId="77777777" w:rsidR="00E64318" w:rsidRDefault="008A08F4">
    <w:pPr>
      <w:spacing w:after="197"/>
      <w:jc w:val="center"/>
      <w:rPr>
        <w:sz w:val="16"/>
        <w:szCs w:val="16"/>
      </w:rPr>
    </w:pPr>
    <w:r>
      <w:rPr>
        <w:rFonts w:ascii="Candara" w:eastAsia="Candara" w:hAnsi="Candara" w:cs="Candara"/>
        <w:b/>
        <w:i/>
        <w:color w:val="3A3A3A"/>
        <w:sz w:val="20"/>
        <w:szCs w:val="20"/>
      </w:rPr>
      <w:t xml:space="preserve">   Instituto Superior de Formación Docente Nº803</w:t>
    </w:r>
  </w:p>
  <w:p w14:paraId="00000058" w14:textId="77777777" w:rsidR="00E64318" w:rsidRDefault="008A08F4">
    <w:pPr>
      <w:spacing w:after="0"/>
      <w:ind w:left="-778" w:right="-349"/>
    </w:pPr>
    <w:r>
      <w:rPr>
        <w:rFonts w:ascii="Candara" w:eastAsia="Candara" w:hAnsi="Candara" w:cs="Candara"/>
        <w:b/>
        <w:i/>
      </w:rPr>
      <w:t>___________________________________________________________________________________________</w:t>
    </w:r>
  </w:p>
  <w:p w14:paraId="00000059" w14:textId="77777777" w:rsidR="00E64318" w:rsidRDefault="00E643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F10"/>
    <w:multiLevelType w:val="multilevel"/>
    <w:tmpl w:val="EE7A4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FA2C2B"/>
    <w:multiLevelType w:val="multilevel"/>
    <w:tmpl w:val="4E1E3A36"/>
    <w:lvl w:ilvl="0">
      <w:numFmt w:val="bullet"/>
      <w:lvlText w:val="-"/>
      <w:lvlJc w:val="left"/>
      <w:pPr>
        <w:ind w:left="4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A7700C"/>
    <w:multiLevelType w:val="multilevel"/>
    <w:tmpl w:val="AFF84D68"/>
    <w:lvl w:ilvl="0">
      <w:start w:val="1"/>
      <w:numFmt w:val="lowerLetter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8ED1C63"/>
    <w:multiLevelType w:val="multilevel"/>
    <w:tmpl w:val="944A66B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18"/>
    <w:rsid w:val="001B5AF8"/>
    <w:rsid w:val="002F3B53"/>
    <w:rsid w:val="00316C12"/>
    <w:rsid w:val="004A23A8"/>
    <w:rsid w:val="00656BC2"/>
    <w:rsid w:val="008A08F4"/>
    <w:rsid w:val="00B30EE5"/>
    <w:rsid w:val="00BB2800"/>
    <w:rsid w:val="00C565B2"/>
    <w:rsid w:val="00D85F59"/>
    <w:rsid w:val="00E64318"/>
    <w:rsid w:val="00EB39E1"/>
    <w:rsid w:val="00E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B8B7"/>
  <w15:docId w15:val="{30E7C7AB-F61F-47F0-BA33-68F0B96A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C64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C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56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673"/>
  </w:style>
  <w:style w:type="paragraph" w:styleId="Piedepgina">
    <w:name w:val="footer"/>
    <w:basedOn w:val="Normal"/>
    <w:link w:val="PiedepginaCar"/>
    <w:uiPriority w:val="99"/>
    <w:unhideWhenUsed/>
    <w:rsid w:val="000A56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67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fd803-chu.infd.edu.ar/sitio/formularios-estudiantes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Hln4EZw1N+WRPKPOo/SglZ4kg==">CgMxLjAaJwoBMBIiCiAIBCocCgtBQUFCUzBaOHFBYxAIGgtBQUFCUzBaOHFBYxofCgExEhoKGAgJUhQKEnRhYmxlLmlhMHlodGc1enI5dBofCgEyEhoKGAgJUhQKEnRhYmxlLm95djN5am9tdmdtdBonCgEzEiIKIAgEKhwKC0FBQUJTMFo4cUFnEAgaC0FBQUJTMFo4cUFnGicKATQSIgogCAQqHAoLQUFBQlMwWjhxQVUQCBoLQUFBQlMwWjhxQVUaHwoBNRIaChgICVIUChJ0YWJsZS5tZzd3ZzI1eHB5ZGkaJwoBNhIiCiAIBCocCgtBQUFCUzBaOHFBWRAIGgtBQUFCUzBaOHFBWRofCgE3EhoKGAgJUhQKEnRhYmxlLnV4azh0NTQxbmR1NSKCAwoLQUFBQlMwWjhxQWMS0AIKC0FBQUJTMFo4cUFjEgtBQUFCUzBaOHFBYxpHCgl0ZXh0L2h0bWwSOlJlcHVzZSBhbGd1bmFzIGN1ZXN0aW9uZXMgZGUgdGlwZW8geSBleHByZXNpb25lcywgZm9ybWFkby4iSAoKdGV4dC9wbGFpbhI6UmVwdXNlIGFsZ3VuYXMgY3Vlc3Rpb25lcyBkZSB0aXBlbyB5IGV4cHJlc2lvbmVzLCBmb3JtYWRvLiobIhUxMDAzNDU2NTI4Njg4ODA4MjE3MzcoADgAMO/A4ciQMjjvwOHIkDJKFAoKdGV4dC9wbGFpbhIGQ2h1YnV0WgxwcXJ4eHl0ejFjZzJyAiAAeACaAQYIABAAGACqATwSOlJlcHVzZSBhbGd1bmFzIGN1ZXN0aW9uZXMgZGUgdGlwZW8geSBleHByZXNpb25lcywgZm9ybWFkby6wAQC4AQAY78DhyJAyIO/A4ciQMjAAQhBraXguNWNhcnVtZmF3ZmVyIvINCgtBQUFCUzBaOHFBZxLADQoLQUFBQlMwWjhxQWcSC0FBQUJTMFo4cUFnGv8ECgl0ZXh0L2h0bWwS8QRBZ3JlZ28gYXF1w60gZW5sYWNlLCBwYXJhIGZhY2lsaXRhciBhY2Nlc28sIHBlcm8gbm8gZXN0w6EgYWN0dWFsaXphZG8gZWwgZm9ybXVsYXJpbyBkZSBzb2xpY2l0dWQgZGUgZXF1aXZhbGVuY2lhcy4gSGFiw61hbW9zIGVkaXRhZG8gbGEgc29saWNpdHVkLjxicj48YnI+RXN0YSBlcyBsYSDDumx0aW1hIHZlcnNpw7NuwqA8YnI+PGEgaHJlZj0iaHR0cHM6Ly93d3cuZ29vZ2xlLmNvbS91cmw/cT1odHRwczovL2RvY3MuZ29vZ2xlLmNvbS9kb2N1bWVudC9kLzEyb3FNQTVMRDk1bmg0OVVqeXNwNGxSUTBxVHpVQ0xmQy9lZGl0JmFtcDtzYT1EJmFtcDtzb3VyY2U9ZG9jcyZhbXA7dXN0PTE3MjI1NTcyOTYxMjIyMTYmYW1wO3VzZz1BT3ZWYXcwMFkwbHpiUWRpVEdBVUl6ekdIZlB6IiBkYXRhLXJhd0hyZWY9Imh0dHBzOi8vZG9jcy5nb29nbGUuY29tL2RvY3VtZW50L2QvMTJvcU1BNUxEOTVuaDQ5VWp5c3A0bFJRMHFUelVDTGZDL2VkaXQiIHRhcmdldD0iX2JsYW5rIj5odHRwczovL2RvY3MuZ29vZ2xlLmNvbS9kb2N1bWVudC9kLzEyb3FNQTVMRDk1bmg0OVVqeXNwNGxSUTBxVHpVQ0xmQy9lZGl0PC9hPjxicj48YnI+SGFicsOtYSBxdWUgYWN0dWFsaXphciBlbiBww6FnaW5hIGluc3RpdHVjaW9uYWwuIrwCCgp0ZXh0L3BsYWluEq0CQWdyZWdvIGFxdcOtIGVubGFjZSwgcGFyYSBmYWNpbGl0YXIgYWNjZXNvLCBwZXJvIG5vIGVzdMOhIGFjdHVhbGl6YWRvIGVsIGZvcm11bGFyaW8gZGUgc29saWNpdHVkIGRlIGVxdWl2YWxlbmNpYXMuIEhhYsOtYW1vcyBlZGl0YWRvIGxhIHNvbGljaXR1ZC4KCkVzdGEgZXMgbGEgw7psdGltYSB2ZXJzacOzbsKgCmh0dHBzOi8vZG9jcy5nb29nbGUuY29tL2RvY3VtZW50L2QvMTJvcU1BNUxEOTVuaDQ5VWp5c3A0bFJRMHFUelVDTGZDL2VkaXQKCkhhYnLDrWEgcXVlIGFjdHVhbGl6YXIgZW4gcMOhZ2luYSBpbnN0aXR1Y2lvbmFsLiobIhUxMDAzNDU2NTI4Njg4ODA4MjE3MzcoADgAMLH25ciQMji55OvIkDJKHQoKdGV4dC9wbGFpbhIPZSBlbiBsYSBww6FnaW5hWgxoNmJxbHpwdW9oM3FyAiAAeACaAQYIABAAGACqAfQEEvEEQWdyZWdvIGFxdcOtIGVubGFjZSwgcGFyYSBmYWNpbGl0YXIgYWNjZXNvLCBwZXJvIG5vIGVzdMOhIGFjdHVhbGl6YWRvIGVsIGZvcm11bGFyaW8gZGUgc29saWNpdHVkIGRlIGVxdWl2YWxlbmNpYXMuIEhhYsOtYW1vcyBlZGl0YWRvIGxhIHNvbGljaXR1ZC48YnI+PGJyPkVzdGEgZXMgbGEgw7psdGltYSB2ZXJzacOzbsKgPGJyPjxhIGhyZWY9Imh0dHBzOi8vd3d3Lmdvb2dsZS5jb20vdXJsP3E9aHR0cHM6Ly9kb2NzLmdvb2dsZS5jb20vZG9jdW1lbnQvZC8xMm9xTUE1TEQ5NW5oNDlVanlzcDRsUlEwcVR6VUNMZkMvZWRpdCZhbXA7c2E9RCZhbXA7c291cmNlPWRvY3MmYW1wO3VzdD0xNzIyNTU3Mjk2MTIyMjE2JmFtcDt1c2c9QU92VmF3MDBZMGx6YlFkaVRHQVVJenpHSGZQeiIgZGF0YS1yYXdocmVmPSJodHRwczovL2RvY3MuZ29vZ2xlLmNvbS9kb2N1bWVudC9kLzEyb3FNQTVMRDk1bmg0OVVqeXNwNGxSUTBxVHpVQ0xmQy9lZGl0IiB0YXJnZXQ9Il9ibGFuayI+aHR0cHM6Ly9kb2NzLmdvb2dsZS5jb20vZG9jdW1lbnQvZC8xMm9xTUE1TEQ5NW5oNDlVanlzcDRsUlEwcVR6VUNMZkMvZWRpdDwvYT48YnI+PGJyPkhhYnLDrWEgcXVlIGFjdHVhbGl6YXIgZW4gcMOhZ2luYSBpbnN0aXR1Y2lvbmFsLrABALgBABix9uXIkDIgueTryJAyMABCEGtpeC5mYnljNGxoeXg0NGIilQwKC0FBQUJTMFo4cUFVEuMLCgtBQUFCUzBaOHFBVRILQUFBQlMwWjhxQVUavQIKCXRleHQvaHRtbBKvAkNvbnNpZGVybyBpbXBvcnRhbnRlIGluY29ycG9yYXIgZXN0YSBhY2xhcmFjacOzbi7CoDxicj5FbiBjYXNvIGRlIHF1ZSBlbC9sYSBlc3R1ZGlhbnRlIHByb3ZlbmdhIGRlIG51ZXN0cmEgaW5zdGl0dWNpw7NuIHNlIGRlYmVyw61hIGFqdXN0YXIgbGEgdmFsaWRleiBzZWfDum4gZWwgUGxhbiBkZSB0ZXJtaW5hbGlkYWQsIHBlcm8gZXMgdW5hIGV4Y2VwY2nDs24gcXVlIGRlYmVyw61hIHNlciBjb21lbnRhZGEgYWwgbW9tZW50byBkZSByZWNpYmlyIGxhIHNvbGljaXR1ZC4gUGFyYSBubyBnZW5lcmFyIGNvbmZ1c2lvbmVzIGFxdcOtLiK7AgoKdGV4dC9wbGFpbhKsAkNvbnNpZGVybyBpbXBvcnRhbnRlIGluY29ycG9yYXIgZXN0YSBhY2xhcmFjacOzbi7CoApFbiBjYXNvIGRlIHF1ZSBlbC9sYSBlc3R1ZGlhbnRlIHByb3ZlbmdhIGRlIG51ZXN0cmEgaW5zdGl0dWNpw7NuIHNlIGRlYmVyw61hIGFqdXN0YXIgbGEgdmFsaWRleiBzZWfDum4gZWwgUGxhbiBkZSB0ZXJtaW5hbGlkYWQsIHBlcm8gZXMgdW5hIGV4Y2VwY2nDs24gcXVlIGRlYmVyw61hIHNlciBjb21lbnRhZGEgYWwgbW9tZW50byBkZSByZWNpYmlyIGxhIHNvbGljaXR1ZC4gUGFyYSBubyBnZW5lcmFyIGNvbmZ1c2lvbmVzIGFxdcOtLiobIhUxMDAzNDU2NTI4Njg4ODA4MjE3MzcoADgAMO/X0siQMjjv19LIkDJKxAMKCnRleHQvcGxhaW4StQNDb25zaWRlcmFyIHF1ZSBzZWfDum4gZWwgQXJ0LiA0MCBkZWwgUkFNIHNlIGVzdGlwdWxhIHVuIHBsYXpvIG5vIG1heW9yIGEgNSAoY2luY28pIGHDsW9zIHBhcmEgY29uc2lkZXJhciBsYSB2aWdlbmNpYSBkZSB1bmEgdW5pZGFkIGN1cnJpY3VsYXIgY3VhbmRvIHNlIGFjcmVkaXRlbiBlc3R1ZGlvcyBwYXJjaWFsZXMgKGNhcnJlcmFzIGluY29tcGxldGFzKSB5LCBjdWFuZG8gbGFzIHVuaWRhZGVzIGN1cnJpY3VsYXJlcyBhcHJvYmFkYXMgcHJvdmVuZ2FuIGRlIGNhcnJlcmFzIGNvbXBsZXRhcywgZGljaG8gcGxhem8gc2UgZXh0ZW5kZXLDoSBhIDEwIChkaWV6KSBhw7FvcyBwYXJhIGVzdHVkaWFudGVzIHByb3ZlbmllbnRlcyBkZSBvdHJhcyBpbnN0aXR1Y2lvbmVzLCAgcMO6YmxpY2FzIG8gcHJpdmFkYXMgZGUgbnVlc3RyYSB1IG90cmFzIGp1cmlzZGljY2lvbmVzLloMMzd3aGxlYTZreXkxcgIgAHgAmgEGCAAQABgAqgGyAhKvAkNvbnNpZGVybyBpbXBvcnRhbnRlIGluY29ycG9yYXIgZXN0YSBhY2xhcmFjacOzbi7CoDxicj5FbiBjYXNvIGRlIHF1ZSBlbC9sYSBlc3R1ZGlhbnRlIHByb3ZlbmdhIGRlIG51ZXN0cmEgaW5zdGl0dWNpw7NuIHNlIGRlYmVyw61hIGFqdXN0YXIgbGEgdmFsaWRleiBzZWfDum4gZWwgUGxhbiBkZSB0ZXJtaW5hbGlkYWQsIHBlcm8gZXMgdW5hIGV4Y2VwY2nDs24gcXVlIGRlYmVyw61hIHNlciBjb21lbnRhZGEgYWwgbW9tZW50byBkZSByZWNpYmlyIGxhIHNvbGljaXR1ZC4gUGFyYSBubyBnZW5lcmFyIGNvbmZ1c2lvbmVzIGFxdcOtLrABALgBABjv19LIkDIg79fSyJAyMABCEGtpeC56MjEybjBnZWpnaXAizAQKC0FBQUJTMFo4cUFZEpoECgtBQUFCUzBaOHFBWRILQUFBQlMwWjhxQVkaPwoJdGV4dC9odG1sEjJBZ3JlZ28gZXN0byBzZWfDum4gbG8gZXN0YWJsZWNpZG8gZW4gZG9jIERJQ1RhbWVuLiJACgp0ZXh0L3BsYWluEjJBZ3JlZ28gZXN0byBzZWfDum4gbG8gZXN0YWJsZWNpZG8gZW4gZG9jIERJQ1RhbWVuLiobIhUxMDAzNDU2NTI4Njg4ODA4MjE3MzcoADgAMO3y18iQMjjt8tfIkDJK9QEKCnRleHQvcGxhaW4S5gFhY3JlZGl0YXIgbG9zIGNvbm9jaW1pZW50b3MgZmFsdGFudGVzIGEgcGFydGlyIGRlIGxvcyBkaXNwb3NpdGl2b3MgcXVlIHNlIGxlIGluZm9ybWVuIChjb2xvcXVpbywgbW9ub2dyYWbDrWEsIG1vbm9ncmFmw61hIHkgZXhwb3NpY2nDs24gb3JhbCwgY3Vyc2FkbyBkZSBlamVzIHBlbmRpZW50ZXMgZGUgYWNyZWRpdGFjacOzbiBjb24gc3UgaW5zdGFuY2lhIGV2YWx1YXRpdmEgY29ycmVzcG9uZGllbnRlKVoMcXU0a290ZnQ4djU4cgIgAHgAmgEGCAAQABgAqgE0EjJBZ3JlZ28gZXN0byBzZWfDum4gbG8gZXN0YWJsZWNpZG8gZW4gZG9jIERJQ1RhbWVuLrABALgBABjt8tfIkDIg7fLXyJAyMABCEGtpeC5qdDVzb2N0eDVtbnEyCGguZ2pkZ3hzOAByITFncEthZ2lveS1qNEdsZ0pIRFZTYXJXbXpjOWVId1p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2024-08-03T01:00:00Z</dcterms:created>
  <dcterms:modified xsi:type="dcterms:W3CDTF">2024-08-03T01:00:00Z</dcterms:modified>
</cp:coreProperties>
</file>