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84" w:rsidRDefault="00E93084">
      <w:pPr>
        <w:widowControl w:val="0"/>
      </w:pPr>
    </w:p>
    <w:tbl>
      <w:tblPr>
        <w:tblStyle w:val="a"/>
        <w:tblW w:w="9514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913"/>
        <w:gridCol w:w="4601"/>
      </w:tblGrid>
      <w:tr w:rsidR="00E93084">
        <w:tc>
          <w:tcPr>
            <w:tcW w:w="9514" w:type="dxa"/>
            <w:gridSpan w:val="2"/>
          </w:tcPr>
          <w:p w:rsidR="00E93084" w:rsidRDefault="00DA4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152400</wp:posOffset>
                  </wp:positionV>
                  <wp:extent cx="1142365" cy="79883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798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93084" w:rsidRDefault="00E93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Default="00E93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Default="00E93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Default="00E93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Default="00E93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Default="00DA4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 General de Educación Superior y</w:t>
            </w:r>
          </w:p>
          <w:p w:rsidR="00E93084" w:rsidRDefault="00DA4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Docente inicial</w:t>
            </w:r>
          </w:p>
          <w:p w:rsidR="00E93084" w:rsidRDefault="00DA4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Instituto Superior de Formación Docente N° 803</w:t>
            </w:r>
          </w:p>
          <w:p w:rsidR="00E93084" w:rsidRDefault="00DA4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Puerto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Madryn</w:t>
            </w:r>
            <w:proofErr w:type="spellEnd"/>
          </w:p>
          <w:p w:rsidR="00E93084" w:rsidRDefault="00DA47D4">
            <w:pPr>
              <w:tabs>
                <w:tab w:val="left" w:pos="796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93084">
        <w:tc>
          <w:tcPr>
            <w:tcW w:w="9514" w:type="dxa"/>
            <w:gridSpan w:val="2"/>
          </w:tcPr>
          <w:p w:rsidR="00E93084" w:rsidRDefault="004259DA">
            <w:pPr>
              <w:shd w:val="clear" w:color="auto" w:fill="00000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R O G R A M A   2 0 19</w:t>
            </w:r>
            <w:bookmarkStart w:id="0" w:name="_GoBack"/>
            <w:bookmarkEnd w:id="0"/>
          </w:p>
        </w:tc>
      </w:tr>
      <w:tr w:rsidR="00E93084">
        <w:tc>
          <w:tcPr>
            <w:tcW w:w="9514" w:type="dxa"/>
            <w:gridSpan w:val="2"/>
          </w:tcPr>
          <w:p w:rsidR="00E9308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a0"/>
              <w:tblW w:w="949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9"/>
            </w:tblGrid>
            <w:tr w:rsidR="00E93084">
              <w:tc>
                <w:tcPr>
                  <w:tcW w:w="9499" w:type="dxa"/>
                </w:tcPr>
                <w:p w:rsidR="00E93084" w:rsidRDefault="00DA47D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Carrera: Profesorado de Educación Especial Orientación en Intelectuales</w:t>
                  </w:r>
                </w:p>
              </w:tc>
            </w:tr>
          </w:tbl>
          <w:p w:rsidR="00E93084" w:rsidRDefault="00E93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084">
        <w:tc>
          <w:tcPr>
            <w:tcW w:w="4913" w:type="dxa"/>
          </w:tcPr>
          <w:p w:rsidR="00E93084" w:rsidRDefault="00DA4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1"/>
              <w:tblW w:w="489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8"/>
            </w:tblGrid>
            <w:tr w:rsidR="00E93084">
              <w:tc>
                <w:tcPr>
                  <w:tcW w:w="4898" w:type="dxa"/>
                </w:tcPr>
                <w:p w:rsidR="00E93084" w:rsidRDefault="00DA47D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MÖDULO</w:t>
                  </w:r>
                </w:p>
              </w:tc>
            </w:tr>
          </w:tbl>
          <w:p w:rsidR="00E93084" w:rsidRDefault="00DA47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Unidad de definición institucional: Discapacidad múltiple</w:t>
            </w:r>
          </w:p>
          <w:p w:rsidR="00E9308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E93084" w:rsidRDefault="00E93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Default="00DA4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Equipo Docente:</w:t>
            </w:r>
          </w:p>
          <w:p w:rsidR="00E93084" w:rsidRDefault="00DA4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Ma. Laura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Coutaz</w:t>
            </w:r>
            <w:proofErr w:type="spellEnd"/>
          </w:p>
          <w:p w:rsidR="00E93084" w:rsidRDefault="00E93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084" w:rsidRPr="00DA47D4">
        <w:tc>
          <w:tcPr>
            <w:tcW w:w="9514" w:type="dxa"/>
            <w:gridSpan w:val="2"/>
            <w:tcBorders>
              <w:bottom w:val="single" w:sz="4" w:space="0" w:color="000000"/>
            </w:tcBorders>
          </w:tcPr>
          <w:p w:rsidR="00E93084" w:rsidRPr="00DA47D4" w:rsidRDefault="00DA47D4">
            <w:pPr>
              <w:shd w:val="clear" w:color="auto" w:fill="00000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A47D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1. FUNDAMENTACIÓN</w:t>
            </w:r>
          </w:p>
          <w:tbl>
            <w:tblPr>
              <w:tblStyle w:val="a2"/>
              <w:tblW w:w="94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9"/>
            </w:tblGrid>
            <w:tr w:rsidR="00E93084" w:rsidRPr="00DA47D4">
              <w:tc>
                <w:tcPr>
                  <w:tcW w:w="9489" w:type="dxa"/>
                </w:tcPr>
                <w:p w:rsidR="00E93084" w:rsidRPr="00DA47D4" w:rsidRDefault="00DA47D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</w:t>
                  </w:r>
                </w:p>
                <w:p w:rsidR="00E93084" w:rsidRPr="00DA47D4" w:rsidRDefault="00DA47D4" w:rsidP="007B090E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white"/>
                    </w:rPr>
                    <w:t xml:space="preserve">  E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ste espacio académico, constituye la primera unidad de definición institucional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correspondiente a la formación específica, del profesorado de Educación Especial en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discapacidad intelectual y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se encuentra en el p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rimer año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. Se considera que los contenidos de la misma son transversales y se relacionan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con las diferentes unidades académicas; tales como Trayectorias educativas integrales,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Práctica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docente I, Problemáticas de la educación I, entre otros.</w:t>
                  </w:r>
                </w:p>
                <w:p w:rsidR="00E93084" w:rsidRPr="00DA47D4" w:rsidRDefault="00DA47D4" w:rsidP="007B090E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 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El avance de la medicina, de los recursos tecnológicos ha prolongado la vida de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las personas con discapacidad y han logrado la sobrevida de niños severamente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afectados. Esta categoría novedosa “discapacidad múltiple”, en constante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conceptualización subyace las categorías clásicas, tales como discapacidad intelectual,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motora, sensorial, visceral ; y obliga a los docentes de la educación especial a una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reformulación de las estrategias educativas , complejizar su rol docente y de flexibilizar</w:t>
                  </w:r>
                </w:p>
                <w:p w:rsidR="00E93084" w:rsidRPr="00DA47D4" w:rsidRDefault="00DA47D4" w:rsidP="007B090E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las configuraciones de apoyo.</w:t>
                  </w:r>
                </w:p>
                <w:p w:rsidR="00E93084" w:rsidRPr="00DA47D4" w:rsidRDefault="00DA47D4" w:rsidP="007B090E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 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La discapacidad múltiple no es una sumatoria de déficit, sino una nueva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categoría de análisis; tomando las conceptualizaciones de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Perkins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la “Nos referimos a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las personas con discapacidad múltiple como aquellas que poseen una combinación de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deficiencias en interacción con el contexto. Son las que encuentran barreras que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requerirán configuraciones de apoyo específicas para garantizar su acceso, aprendizaje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y participación plena en la sociedad. La Organización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lastRenderedPageBreak/>
                    <w:t xml:space="preserve">Internacional de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Sordoceguera</w:t>
                  </w:r>
                  <w:proofErr w:type="spellEnd"/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describe a la misma,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como una condición que combina, en una variedad de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grados, un impedimento visual y uno auditivo. Dos impedimentos sensoriales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multiplican e intensifican el impacto de cada uno sobre el otro, creando una severa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discapacidad, la que es diferente y única. Tanto las personas con discapacidad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="00824F8B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múltiple,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como aquellas con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sordoceguera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comparten, en su descripción, los desafíos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que deben atravesar en su participación dentro de la sociedad, lo que se ve reflejado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en la comunicación, en el acceso a la información y en la movilidad. Por lo que se</w:t>
                  </w:r>
                </w:p>
                <w:p w:rsidR="00E93084" w:rsidRPr="00DA47D4" w:rsidRDefault="00DA47D4" w:rsidP="007B090E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plantea poner el foco en el contexto y no en el déficit en sí mismo, reconociendo así su</w:t>
                  </w:r>
                </w:p>
                <w:p w:rsidR="00E93084" w:rsidRPr="00DA47D4" w:rsidRDefault="00DA47D4" w:rsidP="007B090E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individualidad.” (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Zoppi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, Beatriz A. y otros, 2013,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pag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07)</w:t>
                  </w:r>
                </w:p>
                <w:p w:rsidR="00E93084" w:rsidRPr="00DA47D4" w:rsidRDefault="00DA47D4" w:rsidP="007B090E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 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Esta propuesta de cátedra se propone trabajar conjuntamente con la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Organización Internacional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Perkins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, que tiene como propósito capacitar y formular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teorizaciones sobre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sordoceguera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y discapacidad múltiple en Latinoamérica y el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mundo. La cual colaborará con material bibliográfico y con videos-conferencias, con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docentes especializados.</w:t>
                  </w:r>
                </w:p>
                <w:p w:rsidR="00E93084" w:rsidRPr="00DA47D4" w:rsidRDefault="00DA47D4" w:rsidP="007B090E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  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La temática a abordar presenta un nuevo paradigma de educación especial, que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incluye a aquellos que antiguamente eran catalogados como “no educables” y que sólo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eran sujetos del saber médico y de la rehabilitación.</w:t>
                  </w:r>
                </w:p>
                <w:p w:rsidR="00E93084" w:rsidRPr="00DA47D4" w:rsidRDefault="00DA47D4" w:rsidP="007B090E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Desde mi experiencia laboral, he trabajado desde el 2012 en la única institución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de la zona especializada en la atención de las personas con discapacidad múltiple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(antes llamadas discapacitados severos y profundos), Centro de día NICADPI, de la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ciudad de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Trelew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; en la que concurren adolescentes y adultos, que en su gran mayoría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no han sido abordados por ninguna institución educativa. Otro de los pilares de dicha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cátedra, será trabajar a través de casos concretos, a partir de observaciones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instituciones y material fílmico de la institución NICADPI.</w:t>
                  </w:r>
                </w:p>
                <w:p w:rsidR="00E93084" w:rsidRPr="00DA47D4" w:rsidRDefault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Se considera como dispositivo de formación adecuado el taller, como lo plantea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el diseño curricular 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jurisdiccional, “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implican un trabajo colectivo y colaborativo que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potencia la reflexión, la toma de decisiones y la elaboración de propuestas. Esta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modalidad prioriza la elaboración de proyectos concretos a partir del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análisis de casos y de alternativas de acción, la toma de decisiones y la</w:t>
                  </w:r>
                  <w:r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producción de soluciones e innovaciones para encararlos. Para la evaluación se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puede considerar la presentación de trabajos que contemplen una producción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colectiva o grupal basada en la elaboración de propuestas” (Dirección general de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educación superior,2017, pág. 25).</w:t>
                  </w:r>
                </w:p>
                <w:p w:rsidR="00E93084" w:rsidRPr="00DA47D4" w:rsidRDefault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A su vez, al ser alumnos/as del primer año, es interesante iniciar el</w:t>
                  </w:r>
                  <w:r w:rsidR="007B090E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acercamiento a la observación y la praxis docente desde una perspectiva integradora.</w:t>
                  </w:r>
                </w:p>
                <w:p w:rsidR="00E93084" w:rsidRPr="00DA47D4" w:rsidRDefault="00DA47D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Pr="00DA47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E93084" w:rsidRPr="00DA47D4" w:rsidRDefault="00E9308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A47D4" w:rsidRPr="00DA47D4">
              <w:tc>
                <w:tcPr>
                  <w:tcW w:w="9489" w:type="dxa"/>
                </w:tcPr>
                <w:p w:rsidR="00DA47D4" w:rsidRPr="00DA47D4" w:rsidRDefault="00DA47D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93084" w:rsidRPr="00DA47D4" w:rsidRDefault="00DA47D4">
            <w:pPr>
              <w:shd w:val="clear" w:color="auto" w:fill="00000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black"/>
              </w:rPr>
            </w:pPr>
            <w:r w:rsidRPr="00DA47D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>2. OBJETIVOS</w:t>
            </w:r>
          </w:p>
          <w:tbl>
            <w:tblPr>
              <w:tblStyle w:val="a3"/>
              <w:tblW w:w="94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9"/>
            </w:tblGrid>
            <w:tr w:rsidR="00E93084" w:rsidRPr="00DA47D4">
              <w:tc>
                <w:tcPr>
                  <w:tcW w:w="9489" w:type="dxa"/>
                </w:tcPr>
                <w:p w:rsidR="00E93084" w:rsidRPr="00DA47D4" w:rsidRDefault="00DA47D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4- </w:t>
                  </w: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Objetivos generales:</w:t>
                  </w:r>
                </w:p>
                <w:p w:rsidR="00862DFE" w:rsidRPr="00DA47D4" w:rsidRDefault="00DA47D4" w:rsidP="00862DFE">
                  <w:pPr>
                    <w:pStyle w:val="Prrafodelista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Favorecer el conocimiento de las características, derechos y necesidades de los</w:t>
                  </w:r>
                  <w:r w:rsidR="007B090E"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sujetos con discapacidad múltiple y </w:t>
                  </w:r>
                  <w:proofErr w:type="spellStart"/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sordoceguera</w:t>
                  </w:r>
                  <w:proofErr w:type="spellEnd"/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B090E" w:rsidRPr="00DA47D4" w:rsidRDefault="00DA47D4" w:rsidP="00DA47D4">
                  <w:pPr>
                    <w:pStyle w:val="Prrafodelista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Promover el conocimiento de estrategias educativas para afrontar los retos</w:t>
                  </w:r>
                  <w:r w:rsidR="007B090E"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múltiples que requiere esta población</w:t>
                  </w:r>
                </w:p>
                <w:p w:rsidR="00E93084" w:rsidRPr="00DA47D4" w:rsidRDefault="00DA47D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Objetivos específicos</w:t>
                  </w: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62DFE" w:rsidRPr="00DA47D4" w:rsidRDefault="00DA47D4" w:rsidP="00862DFE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Propiciar el conocimiento del marco legal que protegen las personas con</w:t>
                  </w:r>
                  <w:r w:rsidR="007B090E"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discapacidad múltiple.</w:t>
                  </w:r>
                </w:p>
                <w:p w:rsidR="00862DFE" w:rsidRPr="00DA47D4" w:rsidRDefault="00DA47D4" w:rsidP="00862DFE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Promover el conocimiento del modelo social de la discapacidad, inclusión y el</w:t>
                  </w:r>
                  <w:r w:rsidR="007B090E"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diseño universal de la educación</w:t>
                  </w:r>
                </w:p>
                <w:p w:rsidR="00862DFE" w:rsidRPr="00DA47D4" w:rsidRDefault="00DA47D4" w:rsidP="00862DFE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Fomentar el reconocimiento de las necesidades y fortalezas de las personas con</w:t>
                  </w:r>
                  <w:r w:rsidR="007B090E"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discapacidad múltiple</w:t>
                  </w:r>
                </w:p>
                <w:p w:rsidR="00862DFE" w:rsidRPr="00DA47D4" w:rsidRDefault="00DA47D4" w:rsidP="00862DFE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Reconocer e identificar los apoyos y estrategias educativas que requieren las</w:t>
                  </w:r>
                  <w:r w:rsidR="007B090E"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personas con discapacidad múltiple.</w:t>
                  </w:r>
                </w:p>
                <w:p w:rsidR="00E93084" w:rsidRPr="00DA47D4" w:rsidRDefault="00DA47D4" w:rsidP="00862DFE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Estimular la capacidad de flexibilidad, creatividad y que requiere la educación</w:t>
                  </w:r>
                  <w:r w:rsidR="007B090E"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 las personas con discapacidad múltiple y/o </w:t>
                  </w:r>
                  <w:proofErr w:type="spellStart"/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sordoceguera</w:t>
                  </w:r>
                  <w:proofErr w:type="spellEnd"/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3084" w:rsidRPr="00DA47D4" w:rsidRDefault="00E9308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3084" w:rsidRPr="00DA47D4" w:rsidRDefault="00DA47D4">
            <w:pPr>
              <w:shd w:val="clear" w:color="auto" w:fill="00000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black"/>
              </w:rPr>
            </w:pPr>
            <w:r w:rsidRPr="00DA47D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>3. CONTENIDOS</w:t>
            </w:r>
          </w:p>
          <w:tbl>
            <w:tblPr>
              <w:tblStyle w:val="a4"/>
              <w:tblW w:w="94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9"/>
            </w:tblGrid>
            <w:tr w:rsidR="00E93084" w:rsidRPr="00DA47D4">
              <w:tc>
                <w:tcPr>
                  <w:tcW w:w="9489" w:type="dxa"/>
                </w:tcPr>
                <w:p w:rsidR="00E93084" w:rsidRPr="00DA47D4" w:rsidRDefault="00E930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DA47D4" w:rsidRPr="00DA47D4" w:rsidRDefault="00DA47D4" w:rsidP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  <w:u w:val="single"/>
                    </w:rPr>
                    <w:t>Unidad 1:</w:t>
                  </w:r>
                </w:p>
                <w:p w:rsidR="00DA47D4" w:rsidRPr="00DA47D4" w:rsidRDefault="00DA47D4" w:rsidP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Marco legal: convención internacional de las personas con discapacidad. </w:t>
                  </w:r>
                </w:p>
                <w:p w:rsidR="00DA47D4" w:rsidRPr="00DA47D4" w:rsidRDefault="00DA47D4" w:rsidP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Discapacidad múltiple: Definición, causas, características. La inclusión, modelo social de la discapacidad. Diseño universal del aprendizaje. Abordaje histórico y cambio de paradigma. Derechos de las personas con discapacidad múltiple.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ab/>
                  </w:r>
                </w:p>
                <w:p w:rsidR="00DA47D4" w:rsidRPr="00DA47D4" w:rsidRDefault="00DA47D4" w:rsidP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  <w:u w:val="single"/>
                    </w:rPr>
                    <w:t>Unidad 2:</w:t>
                  </w:r>
                </w:p>
                <w:p w:rsidR="00DA47D4" w:rsidRPr="00DA47D4" w:rsidRDefault="00DA47D4" w:rsidP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Necesidades y fortalezas de los estudiantes con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sordoceguera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y discapacidad Múltiple. Necesidades motoras o físicas, necesidades cognitivas, necesidades sociales, necesidades de comunicación, emocionales y educativas. Fortalezas de los/as alumnos con discapacidad múltiple.</w:t>
                  </w:r>
                </w:p>
                <w:p w:rsidR="00DA47D4" w:rsidRPr="00DA47D4" w:rsidRDefault="00DA47D4" w:rsidP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  <w:u w:val="single"/>
                    </w:rPr>
                    <w:t>Unidad 3:</w:t>
                  </w:r>
                </w:p>
                <w:p w:rsidR="00DA47D4" w:rsidRPr="00DA47D4" w:rsidRDefault="00DA47D4" w:rsidP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Apoyo definición. Tipos de apoyo. Apoyos sociales y emocionales.  Apoyos en la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lastRenderedPageBreak/>
                    <w:t>comunicación. Acceso y participación al currículo. Orientación y movilidad. Apoyos sensoriales.</w:t>
                  </w:r>
                </w:p>
                <w:p w:rsidR="00DA47D4" w:rsidRPr="00DA47D4" w:rsidRDefault="00DA47D4" w:rsidP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  <w:u w:val="single"/>
                    </w:rPr>
                    <w:t>Unidad 4</w:t>
                  </w:r>
                </w:p>
                <w:p w:rsidR="00DA47D4" w:rsidRPr="00DA47D4" w:rsidRDefault="00DA47D4" w:rsidP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Estrategias básicas para la atención a los/as estudiantes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sordoceguera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y discapacidad múltiple. Discapacidad y calidad de vida. Estrategias educativas.  Uso de Tecnología adaptada.</w:t>
                  </w:r>
                </w:p>
                <w:p w:rsidR="00E93084" w:rsidRPr="00DA47D4" w:rsidRDefault="00E93084" w:rsidP="00824F8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2DFE" w:rsidRPr="00DA47D4">
              <w:tc>
                <w:tcPr>
                  <w:tcW w:w="9489" w:type="dxa"/>
                </w:tcPr>
                <w:p w:rsidR="00862DFE" w:rsidRPr="00DA47D4" w:rsidRDefault="00862DF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93084" w:rsidRPr="00DA47D4" w:rsidRDefault="00DA47D4">
            <w:pPr>
              <w:shd w:val="clear" w:color="auto" w:fill="00000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black"/>
              </w:rPr>
            </w:pPr>
            <w:r w:rsidRPr="00DA47D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>4. METODOLOGÍA DE TRABAJO</w:t>
            </w:r>
          </w:p>
          <w:tbl>
            <w:tblPr>
              <w:tblStyle w:val="a5"/>
              <w:tblW w:w="94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9"/>
            </w:tblGrid>
            <w:tr w:rsidR="00E93084" w:rsidRPr="00DA47D4">
              <w:tc>
                <w:tcPr>
                  <w:tcW w:w="9489" w:type="dxa"/>
                  <w:tcBorders>
                    <w:bottom w:val="nil"/>
                  </w:tcBorders>
                </w:tcPr>
                <w:p w:rsidR="00824F8B" w:rsidRPr="00DA47D4" w:rsidRDefault="00824F8B" w:rsidP="00824F8B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  Se considera como dispositivo de formación adecuado el taller, como lo plantea el diseño curricular jurisdiccional, “implican un trabajo colectivo y colaborativo que potencia la reflexión, la toma de decisiones y la elaboración de propuestas. Esta modalidad prioriza la elaboración de proyectos concretos a partir del análisis de casos y de alternativas de acción, la toma de decisiones y la</w:t>
                  </w:r>
                </w:p>
                <w:p w:rsidR="00824F8B" w:rsidRPr="00DA47D4" w:rsidRDefault="00824F8B" w:rsidP="00824F8B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producción de soluciones e innovaciones para encararlos. Para la evaluación se puede considerar la presentación de trabajos que contemplen una producción colectiva o grupal basada en la elaboración de propuestas” (Dirección general de educación superior,2017, pág. 25).</w:t>
                  </w:r>
                </w:p>
                <w:p w:rsidR="00E93084" w:rsidRPr="00DA47D4" w:rsidRDefault="00824F8B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  A su vez, al ser alumnos/as del primer año, es interesante iniciar el acercamiento a la observación y la praxis docente desde una perspectiva integradora.</w:t>
                  </w:r>
                </w:p>
              </w:tc>
            </w:tr>
            <w:tr w:rsidR="00E93084" w:rsidRPr="00DA47D4">
              <w:tc>
                <w:tcPr>
                  <w:tcW w:w="9489" w:type="dxa"/>
                  <w:tcBorders>
                    <w:top w:val="nil"/>
                  </w:tcBorders>
                </w:tcPr>
                <w:p w:rsidR="00E93084" w:rsidRPr="00DA47D4" w:rsidRDefault="00E93084">
                  <w:pPr>
                    <w:spacing w:line="36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93084" w:rsidRPr="00DA47D4" w:rsidRDefault="00DA47D4">
            <w:pPr>
              <w:shd w:val="clear" w:color="auto" w:fill="00000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black"/>
              </w:rPr>
            </w:pPr>
            <w:r w:rsidRPr="00DA47D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>5. EVALUACIÓN (CONDICIONES ALUMNO REGULAR)</w:t>
            </w:r>
          </w:p>
          <w:tbl>
            <w:tblPr>
              <w:tblStyle w:val="a6"/>
              <w:tblW w:w="94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9"/>
            </w:tblGrid>
            <w:tr w:rsidR="00E93084" w:rsidRPr="00DA47D4">
              <w:tc>
                <w:tcPr>
                  <w:tcW w:w="9489" w:type="dxa"/>
                </w:tcPr>
                <w:p w:rsidR="00E93084" w:rsidRPr="00DA47D4" w:rsidRDefault="00DA47D4">
                  <w:pPr>
                    <w:spacing w:before="100" w:after="100"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>Acerca de la acreditación:</w:t>
                  </w:r>
                </w:p>
                <w:p w:rsidR="00E93084" w:rsidRPr="00DA47D4" w:rsidRDefault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u w:val="single"/>
                    </w:rPr>
                    <w:t>Evaluación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 La regularidad de dicha materia se logrará:</w:t>
                  </w:r>
                </w:p>
                <w:p w:rsidR="00E93084" w:rsidRPr="00DA47D4" w:rsidRDefault="00DA47D4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 70 % de asistencia según normativa RAM</w:t>
                  </w:r>
                </w:p>
                <w:p w:rsidR="00E93084" w:rsidRPr="00DA47D4" w:rsidRDefault="00DA47D4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 Presentación de trabajos prácticos</w:t>
                  </w:r>
                </w:p>
                <w:p w:rsidR="00E93084" w:rsidRPr="00DA47D4" w:rsidRDefault="00824F8B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>Aprobación del</w:t>
                  </w:r>
                  <w:r w:rsidR="00DA47D4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 trabajo práctico integrador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>individual con</w:t>
                  </w:r>
                  <w:r w:rsidR="00DA47D4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 nota numérica no menor a 4, o su </w:t>
                  </w:r>
                  <w:proofErr w:type="spellStart"/>
                  <w:r w:rsidR="00DA47D4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>recuperatorio</w:t>
                  </w:r>
                  <w:proofErr w:type="spellEnd"/>
                  <w:r w:rsidR="00DA47D4"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24F8B" w:rsidRPr="00DA47D4" w:rsidRDefault="00DA47D4" w:rsidP="00824F8B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Aprobación del coloquio integrador con una nota no inferior a 4 o su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>recuperatorio</w:t>
                  </w:r>
                  <w:proofErr w:type="spellEnd"/>
                </w:p>
                <w:p w:rsidR="00824F8B" w:rsidRPr="00DA47D4" w:rsidRDefault="00824F8B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</w:p>
                <w:p w:rsidR="00E93084" w:rsidRPr="00DA47D4" w:rsidRDefault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u w:val="single"/>
                    </w:rPr>
                    <w:t>Criterios para la promoción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93084" w:rsidRPr="00DA47D4" w:rsidRDefault="00DA47D4">
                  <w:pPr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>80 % de asistencia según normativa RAM</w:t>
                  </w:r>
                </w:p>
                <w:p w:rsidR="00E93084" w:rsidRPr="00DA47D4" w:rsidRDefault="00DA47D4">
                  <w:pPr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 Presentación de trabajos prácticos</w:t>
                  </w:r>
                </w:p>
                <w:p w:rsidR="00E93084" w:rsidRPr="00DA47D4" w:rsidRDefault="00DA47D4">
                  <w:pPr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 Aprobación de parcial escrito con un mínimo de 7</w:t>
                  </w:r>
                </w:p>
                <w:p w:rsidR="00824F8B" w:rsidRPr="00DA47D4" w:rsidRDefault="00DA47D4" w:rsidP="00824F8B">
                  <w:pPr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 Coloquio final integrador con un mínimo de siete 7</w:t>
                  </w:r>
                </w:p>
                <w:p w:rsidR="00E93084" w:rsidRPr="00DA47D4" w:rsidRDefault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Quienes reciban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>aplazos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 (1,2) en el trabajo práctico integrador individual quedan fuera de la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lastRenderedPageBreak/>
                    <w:t>posibilidad de promoción.</w:t>
                  </w:r>
                </w:p>
                <w:p w:rsidR="00E93084" w:rsidRPr="00DA47D4" w:rsidRDefault="00DA47D4">
                  <w:pPr>
                    <w:spacing w:before="100" w:after="100"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93084" w:rsidRPr="00DA47D4" w:rsidRDefault="00E930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93084" w:rsidRPr="00DA47D4" w:rsidRDefault="00DA47D4">
            <w:pPr>
              <w:shd w:val="clear" w:color="auto" w:fill="00000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black"/>
              </w:rPr>
            </w:pPr>
            <w:r w:rsidRPr="00DA47D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lastRenderedPageBreak/>
              <w:t>6. BIBLIOGRAFÍA</w:t>
            </w:r>
          </w:p>
          <w:tbl>
            <w:tblPr>
              <w:tblStyle w:val="a7"/>
              <w:tblW w:w="94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9"/>
            </w:tblGrid>
            <w:tr w:rsidR="00E93084" w:rsidRPr="00DA47D4">
              <w:tc>
                <w:tcPr>
                  <w:tcW w:w="9489" w:type="dxa"/>
                </w:tcPr>
                <w:p w:rsidR="00E93084" w:rsidRPr="00DA47D4" w:rsidRDefault="00E9308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As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ociación Americana de Terapia Ocupacional. (2002). </w:t>
                  </w:r>
                  <w:r w:rsidRPr="00DA47D4">
                    <w:rPr>
                      <w:rFonts w:ascii="Times New Roman" w:eastAsia="Garamond" w:hAnsi="Times New Roman" w:cs="Times New Roman"/>
                      <w:i/>
                      <w:sz w:val="24"/>
                      <w:szCs w:val="24"/>
                      <w:highlight w:val="white"/>
                    </w:rPr>
                    <w:t>Marco de Trabajo para la Práctica de la Terapia Ocupacional. Ámbito de Competencia y Proceso.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1ra. edición.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The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American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Journal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of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Occupational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Therapy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. US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Capua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–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Buitron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(2011) .Curso introductorio “Intervención de Terapia Ocupacional en el área laboral”. Buenos Aires. Argentina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Naciones unidas (2008) “Convención Internacional sobre los Derechos de las Personas con Discapacidad” disponible en</w:t>
                  </w:r>
                  <w:hyperlink r:id="rId8">
                    <w:r w:rsidRPr="00DA47D4">
                      <w:rPr>
                        <w:rFonts w:ascii="Times New Roman" w:eastAsia="Garamond" w:hAnsi="Times New Roman" w:cs="Times New Roman"/>
                        <w:sz w:val="24"/>
                        <w:szCs w:val="24"/>
                        <w:highlight w:val="white"/>
                      </w:rPr>
                      <w:t xml:space="preserve"> </w:t>
                    </w:r>
                  </w:hyperlink>
                  <w:hyperlink r:id="rId9">
                    <w:r w:rsidRPr="00DA47D4">
                      <w:rPr>
                        <w:rFonts w:ascii="Times New Roman" w:eastAsia="Garamond" w:hAnsi="Times New Roman" w:cs="Times New Roman"/>
                        <w:color w:val="1155CC"/>
                        <w:sz w:val="24"/>
                        <w:szCs w:val="24"/>
                        <w:highlight w:val="white"/>
                        <w:u w:val="single"/>
                      </w:rPr>
                      <w:t>http://www.un.org/esa/socdev/enable/documents/tccconvs.pdf</w:t>
                    </w:r>
                  </w:hyperlink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El Cisne</w:t>
                  </w:r>
                  <w:r w:rsidRPr="00DA47D4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(2010)</w:t>
                  </w:r>
                  <w:r w:rsidRPr="00DA47D4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“El envejecimiento de la persona con discapacidad, y la preocupación de lo que ocurrirá cuando sus padres no estén”. Año XX- Nº 239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Fundación Par (2006) “La discapacidad en Argentina: un diagnóstico de situación y políticas públicas vigentes. CABA. Argentina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Franco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Bagher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E</w:t>
                  </w:r>
                  <w:proofErr w:type="gram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.“</w:t>
                  </w:r>
                  <w:proofErr w:type="gram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Terapia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Ocupacional en Rehabilitación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Laboral”.TOG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(A Coruña) (Revista en Internet).2009;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vol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6, supl.5; p 45-67. disponible en</w:t>
                  </w:r>
                  <w:hyperlink r:id="rId10">
                    <w:r w:rsidRPr="00DA47D4">
                      <w:rPr>
                        <w:rFonts w:ascii="Times New Roman" w:eastAsia="Garamond" w:hAnsi="Times New Roman" w:cs="Times New Roman"/>
                        <w:sz w:val="24"/>
                        <w:szCs w:val="24"/>
                        <w:highlight w:val="white"/>
                      </w:rPr>
                      <w:t xml:space="preserve"> </w:t>
                    </w:r>
                  </w:hyperlink>
                  <w:hyperlink r:id="rId11">
                    <w:r w:rsidRPr="00DA47D4">
                      <w:rPr>
                        <w:rFonts w:ascii="Times New Roman" w:eastAsia="Garamond" w:hAnsi="Times New Roman" w:cs="Times New Roman"/>
                        <w:color w:val="1155CC"/>
                        <w:sz w:val="24"/>
                        <w:szCs w:val="24"/>
                        <w:highlight w:val="white"/>
                        <w:u w:val="single"/>
                      </w:rPr>
                      <w:t>http://www.revistatog.com/suple/num5/rhbl.pdf</w:t>
                    </w:r>
                  </w:hyperlink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Gturbide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Rodrigo, Serrano </w:t>
                  </w:r>
                  <w:proofErr w:type="spellStart"/>
                  <w:proofErr w:type="gram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Mujika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(</w:t>
                  </w:r>
                  <w:proofErr w:type="gram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2004) “Manual de orientación laboral para personas con discapacidad”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Loiu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(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Bizkaia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). España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Ley 26.816 (2012) Régimen federal de empleo protegido para personas con discapacidad. Disponible en </w:t>
                  </w:r>
                  <w:hyperlink r:id="rId12">
                    <w:r w:rsidRPr="00DA47D4">
                      <w:rPr>
                        <w:rFonts w:ascii="Times New Roman" w:eastAsia="Garamond" w:hAnsi="Times New Roman" w:cs="Times New Roman"/>
                        <w:color w:val="1155CC"/>
                        <w:sz w:val="24"/>
                        <w:szCs w:val="24"/>
                        <w:highlight w:val="white"/>
                        <w:u w:val="single"/>
                      </w:rPr>
                      <w:t>http://www.infoleg.gob.ar/infolegInternet/anexos/205000-209999/207088/norma.htm</w:t>
                    </w:r>
                  </w:hyperlink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Ley nacional 22.431 (1981) “Sistema de protección integral de los discapacitados”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Lopez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fragua y otros (2004) </w:t>
                  </w:r>
                  <w:proofErr w:type="gram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“ La</w:t>
                  </w:r>
                  <w:proofErr w:type="gram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planificación centrada en la Persona, una metodología coherente con el respeto al derecho de la autodeterminación” Revista española sobre discapacidad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intelectual”.volumen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35. España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Ludeña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, A (2004) La Formación por Competencias Laborales. Guía Técnico – Pedagógica para Docentes de Formación profesional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Edit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CAPLAB Lima. Perú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Ministerio de educación</w:t>
                  </w:r>
                  <w:proofErr w:type="gram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.(</w:t>
                  </w:r>
                  <w:proofErr w:type="gram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1981)Muestras de trabajo en el proceso de orientación y formación laboral en alumnos de educación especial. Buenos Aires. Argentina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Ministerio de Educación Dirección General de Educación Inclusiva. “Hacia la Escuela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lastRenderedPageBreak/>
                    <w:t>de Formación Integral. Provincia de Chubut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Organización Internacional del Trabajo (2013) “</w:t>
                  </w:r>
                  <w:r w:rsidRPr="00DA47D4">
                    <w:rPr>
                      <w:rFonts w:ascii="Times New Roman" w:eastAsia="Garamond" w:hAnsi="Times New Roman" w:cs="Times New Roman"/>
                      <w:i/>
                      <w:sz w:val="24"/>
                      <w:szCs w:val="24"/>
                      <w:highlight w:val="white"/>
                    </w:rPr>
                    <w:t>Empresa Inclusiva: Guía para la contratación de personas con discapacidad”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.Santiago de chile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Perkins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“Proceso de transición de la vida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adulta”.fundación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ONCE América Latina. </w:t>
                  </w:r>
                  <w:hyperlink r:id="rId13">
                    <w:r w:rsidRPr="00DA47D4">
                      <w:rPr>
                        <w:rFonts w:ascii="Times New Roman" w:eastAsia="Garamond" w:hAnsi="Times New Roman" w:cs="Times New Roman"/>
                        <w:color w:val="1155CC"/>
                        <w:sz w:val="24"/>
                        <w:szCs w:val="24"/>
                        <w:highlight w:val="white"/>
                        <w:u w:val="single"/>
                      </w:rPr>
                      <w:t>www.perkins.org</w:t>
                    </w:r>
                  </w:hyperlink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Perkins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(2014)”Transición a la vida adulta de jóvenes y adultos con discapacidad múltiple y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sordoceguera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” disponible en :www.perkinsla.org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Pujol, Jaime. (1987). </w:t>
                  </w:r>
                  <w:r w:rsidRPr="00DA47D4">
                    <w:rPr>
                      <w:rFonts w:ascii="Times New Roman" w:eastAsia="Garamond" w:hAnsi="Times New Roman" w:cs="Times New Roman"/>
                      <w:i/>
                      <w:sz w:val="24"/>
                      <w:szCs w:val="24"/>
                      <w:highlight w:val="white"/>
                    </w:rPr>
                    <w:t>Análisis Ocupacional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. Ed.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Cinterfor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, OIT.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Recomendación Nº 99 OIT. (1955) “Recomendación sobre la adaptación y readaptación de los inválidos”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Recomendación Nº 168</w:t>
                  </w:r>
                  <w:r w:rsidRPr="00DA47D4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OIT</w:t>
                  </w:r>
                  <w:proofErr w:type="gram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.(</w:t>
                  </w:r>
                  <w:proofErr w:type="gram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1983) “Recomendación sobre la readaptación profesional y el empleo de las personas invalidas”.</w:t>
                  </w:r>
                </w:p>
                <w:p w:rsidR="00E93084" w:rsidRPr="00DA47D4" w:rsidRDefault="00DA47D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Romero Ayuso, D y Moruno Miralles, P. “Actividades de la vida diaria”.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Edit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Masson</w:t>
                  </w:r>
                  <w:proofErr w:type="spellEnd"/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  <w:highlight w:val="white"/>
                    </w:rPr>
                    <w:t>. Barcelona,  España. 2006.</w:t>
                  </w:r>
                </w:p>
                <w:p w:rsidR="00E93084" w:rsidRPr="00DA47D4" w:rsidRDefault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color w:val="292926"/>
                      <w:sz w:val="20"/>
                      <w:szCs w:val="20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color w:val="292926"/>
                      <w:sz w:val="20"/>
                      <w:szCs w:val="20"/>
                    </w:rPr>
                    <w:t xml:space="preserve"> </w:t>
                  </w:r>
                </w:p>
                <w:p w:rsidR="00E93084" w:rsidRPr="00DA47D4" w:rsidRDefault="00DA47D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93084" w:rsidRPr="00DA47D4" w:rsidRDefault="00E93084">
                  <w:pPr>
                    <w:spacing w:line="360" w:lineRule="auto"/>
                    <w:jc w:val="both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3084" w:rsidRPr="00DA47D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Pr="00DA47D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Pr="00DA47D4" w:rsidRDefault="00DA47D4">
            <w:pPr>
              <w:shd w:val="clear" w:color="auto" w:fill="000000"/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black"/>
              </w:rPr>
            </w:pPr>
            <w:r w:rsidRPr="00DA47D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>7. ANEXO (CONTRATO DIDÁCTICO)</w:t>
            </w:r>
          </w:p>
          <w:tbl>
            <w:tblPr>
              <w:tblStyle w:val="a8"/>
              <w:tblW w:w="94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9"/>
            </w:tblGrid>
            <w:tr w:rsidR="00E93084" w:rsidRPr="00DA47D4">
              <w:tc>
                <w:tcPr>
                  <w:tcW w:w="9489" w:type="dxa"/>
                </w:tcPr>
                <w:p w:rsidR="00E93084" w:rsidRPr="00DA47D4" w:rsidRDefault="00E930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93084" w:rsidRPr="00DA47D4" w:rsidRDefault="00DA47D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7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 adjunta copia</w:t>
                  </w:r>
                </w:p>
                <w:p w:rsidR="00E93084" w:rsidRPr="00DA47D4" w:rsidRDefault="00E930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3084" w:rsidRPr="00DA47D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084" w:rsidRPr="00DA47D4"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084" w:rsidRPr="00DA47D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Pr="00DA47D4" w:rsidRDefault="00DA47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Año: 2019</w:t>
            </w:r>
          </w:p>
          <w:p w:rsidR="00E93084" w:rsidRPr="00DA47D4" w:rsidRDefault="00DA47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eastAsia="Times New Roman" w:hAnsi="Times New Roman" w:cs="Times New Roman"/>
                <w:sz w:val="24"/>
                <w:szCs w:val="24"/>
              </w:rPr>
              <w:t>Firma del Equipo Docente:</w:t>
            </w:r>
          </w:p>
          <w:p w:rsidR="00E93084" w:rsidRPr="00DA47D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Pr="00DA47D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Pr="00DA47D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Pr="00DA47D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Pr="00DA47D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Pr="00DA47D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Pr="00DA47D4" w:rsidRDefault="00E930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084" w:rsidRPr="00DA47D4" w:rsidRDefault="00E930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3084" w:rsidRPr="00DA47D4" w:rsidRDefault="00E93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084" w:rsidRPr="00DA47D4" w:rsidRDefault="00E93084">
      <w:pPr>
        <w:rPr>
          <w:rFonts w:ascii="Times New Roman" w:hAnsi="Times New Roman" w:cs="Times New Roman"/>
        </w:rPr>
      </w:pPr>
    </w:p>
    <w:sectPr w:rsidR="00E93084" w:rsidRPr="00DA47D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D7A"/>
    <w:multiLevelType w:val="hybridMultilevel"/>
    <w:tmpl w:val="5AC6E8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1559"/>
    <w:multiLevelType w:val="hybridMultilevel"/>
    <w:tmpl w:val="771251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5A3"/>
    <w:multiLevelType w:val="multilevel"/>
    <w:tmpl w:val="73A61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452840"/>
    <w:multiLevelType w:val="multilevel"/>
    <w:tmpl w:val="C832B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2B4704F"/>
    <w:multiLevelType w:val="multilevel"/>
    <w:tmpl w:val="93A23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4"/>
    <w:rsid w:val="004259DA"/>
    <w:rsid w:val="007B090E"/>
    <w:rsid w:val="00824F8B"/>
    <w:rsid w:val="00862DFE"/>
    <w:rsid w:val="00DA47D4"/>
    <w:rsid w:val="00E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9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7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9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7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socdev/enable/documents/tccconvs.pdf" TargetMode="External"/><Relationship Id="rId13" Type="http://schemas.openxmlformats.org/officeDocument/2006/relationships/hyperlink" Target="http://www.perkin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nfoleg.gob.ar/infolegInternet/anexos/205000-209999/207088/norm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vistatog.com/suple/num5/rhbl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vistatog.com/suple/num5/rhb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esa/socdev/enable/documents/tccconv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2B5E-AB10-4D23-BF0D-AD455A7A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Cintia Yanina Menna</cp:lastModifiedBy>
  <cp:revision>2</cp:revision>
  <dcterms:created xsi:type="dcterms:W3CDTF">2019-04-05T20:04:00Z</dcterms:created>
  <dcterms:modified xsi:type="dcterms:W3CDTF">2019-04-05T20:04:00Z</dcterms:modified>
</cp:coreProperties>
</file>