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14.0" w:type="dxa"/>
        <w:jc w:val="left"/>
        <w:tblInd w:w="-130.0" w:type="dxa"/>
        <w:tblLayout w:type="fixed"/>
        <w:tblLook w:val="0000"/>
      </w:tblPr>
      <w:tblGrid>
        <w:gridCol w:w="4913"/>
        <w:gridCol w:w="4601"/>
        <w:tblGridChange w:id="0">
          <w:tblGrid>
            <w:gridCol w:w="4913"/>
            <w:gridCol w:w="4601"/>
          </w:tblGrid>
        </w:tblGridChange>
      </w:tblGrid>
      <w:tr>
        <w:tc>
          <w:tcPr>
            <w:gridSpan w:val="2"/>
            <w:vAlign w:val="top"/>
          </w:tcPr>
          <w:p w:rsidR="00000000" w:rsidDel="00000000" w:rsidP="00000000" w:rsidRDefault="00000000" w:rsidRPr="00000000" w14:paraId="00000002">
            <w:pPr>
              <w:jc w:val="center"/>
              <w:rPr>
                <w:b w:val="0"/>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2447925</wp:posOffset>
                  </wp:positionH>
                  <wp:positionV relativeFrom="paragraph">
                    <wp:posOffset>152400</wp:posOffset>
                  </wp:positionV>
                  <wp:extent cx="1142365" cy="7988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2365" cy="798830"/>
                          </a:xfrm>
                          <a:prstGeom prst="rect"/>
                          <a:ln/>
                        </pic:spPr>
                      </pic:pic>
                    </a:graphicData>
                  </a:graphic>
                </wp:anchor>
              </w:drawing>
            </w:r>
          </w:p>
          <w:p w:rsidR="00000000" w:rsidDel="00000000" w:rsidP="00000000" w:rsidRDefault="00000000" w:rsidRPr="00000000" w14:paraId="00000003">
            <w:pPr>
              <w:jc w:val="center"/>
              <w:rPr>
                <w:sz w:val="24"/>
                <w:szCs w:val="24"/>
                <w:vertAlign w:val="baseline"/>
              </w:rPr>
            </w:pPr>
            <w:r w:rsidDel="00000000" w:rsidR="00000000" w:rsidRPr="00000000">
              <w:rPr>
                <w:rtl w:val="0"/>
              </w:rPr>
            </w:r>
          </w:p>
          <w:p w:rsidR="00000000" w:rsidDel="00000000" w:rsidP="00000000" w:rsidRDefault="00000000" w:rsidRPr="00000000" w14:paraId="00000004">
            <w:pPr>
              <w:jc w:val="center"/>
              <w:rPr>
                <w:sz w:val="24"/>
                <w:szCs w:val="24"/>
                <w:vertAlign w:val="baseline"/>
              </w:rPr>
            </w:pP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rtl w:val="0"/>
              </w:rPr>
            </w:r>
          </w:p>
          <w:p w:rsidR="00000000" w:rsidDel="00000000" w:rsidP="00000000" w:rsidRDefault="00000000" w:rsidRPr="00000000" w14:paraId="00000006">
            <w:pPr>
              <w:jc w:val="center"/>
              <w:rPr>
                <w:sz w:val="24"/>
                <w:szCs w:val="24"/>
                <w:vertAlign w:val="baseline"/>
              </w:rPr>
            </w:pPr>
            <w:r w:rsidDel="00000000" w:rsidR="00000000" w:rsidRPr="00000000">
              <w:rPr>
                <w:rtl w:val="0"/>
              </w:rPr>
            </w:r>
          </w:p>
          <w:p w:rsidR="00000000" w:rsidDel="00000000" w:rsidP="00000000" w:rsidRDefault="00000000" w:rsidRPr="00000000" w14:paraId="00000007">
            <w:pPr>
              <w:jc w:val="center"/>
              <w:rPr>
                <w:sz w:val="24"/>
                <w:szCs w:val="24"/>
                <w:vertAlign w:val="baseline"/>
              </w:rPr>
            </w:pPr>
            <w:r w:rsidDel="00000000" w:rsidR="00000000" w:rsidRPr="00000000">
              <w:rPr>
                <w:rtl w:val="0"/>
              </w:rPr>
            </w:r>
          </w:p>
          <w:p w:rsidR="00000000" w:rsidDel="00000000" w:rsidP="00000000" w:rsidRDefault="00000000" w:rsidRPr="00000000" w14:paraId="00000008">
            <w:pPr>
              <w:jc w:val="center"/>
              <w:rPr>
                <w:sz w:val="24"/>
                <w:szCs w:val="24"/>
                <w:vertAlign w:val="baseline"/>
              </w:rPr>
            </w:pPr>
            <w:r w:rsidDel="00000000" w:rsidR="00000000" w:rsidRPr="00000000">
              <w:rPr>
                <w:sz w:val="24"/>
                <w:szCs w:val="24"/>
                <w:vertAlign w:val="baseline"/>
                <w:rtl w:val="0"/>
              </w:rPr>
              <w:t xml:space="preserve">Dirección General de Educación Superior y</w:t>
            </w:r>
          </w:p>
          <w:p w:rsidR="00000000" w:rsidDel="00000000" w:rsidP="00000000" w:rsidRDefault="00000000" w:rsidRPr="00000000" w14:paraId="00000009">
            <w:pPr>
              <w:jc w:val="center"/>
              <w:rPr>
                <w:sz w:val="24"/>
                <w:szCs w:val="24"/>
              </w:rPr>
            </w:pPr>
            <w:r w:rsidDel="00000000" w:rsidR="00000000" w:rsidRPr="00000000">
              <w:rPr>
                <w:sz w:val="24"/>
                <w:szCs w:val="24"/>
                <w:vertAlign w:val="baseline"/>
                <w:rtl w:val="0"/>
              </w:rPr>
              <w:t xml:space="preserve">Formación Docente</w:t>
            </w:r>
            <w:r w:rsidDel="00000000" w:rsidR="00000000" w:rsidRPr="00000000">
              <w:rPr>
                <w:sz w:val="24"/>
                <w:szCs w:val="24"/>
                <w:rtl w:val="0"/>
              </w:rPr>
              <w:t xml:space="preserve"> inicial</w:t>
            </w:r>
          </w:p>
          <w:p w:rsidR="00000000" w:rsidDel="00000000" w:rsidP="00000000" w:rsidRDefault="00000000" w:rsidRPr="00000000" w14:paraId="0000000A">
            <w:pPr>
              <w:jc w:val="center"/>
              <w:rPr>
                <w:sz w:val="24"/>
                <w:szCs w:val="24"/>
                <w:vertAlign w:val="baseline"/>
              </w:rPr>
            </w:pPr>
            <w:r w:rsidDel="00000000" w:rsidR="00000000" w:rsidRPr="00000000">
              <w:rPr>
                <w:sz w:val="24"/>
                <w:szCs w:val="24"/>
                <w:vertAlign w:val="baseline"/>
                <w:rtl w:val="0"/>
              </w:rPr>
              <w:t xml:space="preserve">Instituto Superior de Formación Docente N° 803</w:t>
            </w:r>
          </w:p>
          <w:p w:rsidR="00000000" w:rsidDel="00000000" w:rsidP="00000000" w:rsidRDefault="00000000" w:rsidRPr="00000000" w14:paraId="0000000B">
            <w:pPr>
              <w:jc w:val="center"/>
              <w:rPr>
                <w:sz w:val="24"/>
                <w:szCs w:val="24"/>
                <w:vertAlign w:val="baseline"/>
              </w:rPr>
            </w:pPr>
            <w:r w:rsidDel="00000000" w:rsidR="00000000" w:rsidRPr="00000000">
              <w:rPr>
                <w:sz w:val="24"/>
                <w:szCs w:val="24"/>
                <w:vertAlign w:val="baseline"/>
                <w:rtl w:val="0"/>
              </w:rPr>
              <w:t xml:space="preserve">Puerto Madryn</w:t>
            </w:r>
          </w:p>
          <w:p w:rsidR="00000000" w:rsidDel="00000000" w:rsidP="00000000" w:rsidRDefault="00000000" w:rsidRPr="00000000" w14:paraId="0000000C">
            <w:pPr>
              <w:tabs>
                <w:tab w:val="left" w:pos="7965"/>
              </w:tabs>
              <w:jc w:val="center"/>
              <w:rPr>
                <w:sz w:val="24"/>
                <w:szCs w:val="24"/>
                <w:vertAlign w:val="baseline"/>
              </w:rPr>
            </w:pPr>
            <w:r w:rsidDel="00000000" w:rsidR="00000000" w:rsidRPr="00000000">
              <w:rPr>
                <w:sz w:val="24"/>
                <w:szCs w:val="24"/>
                <w:vertAlign w:val="baseline"/>
                <w:rtl w:val="0"/>
              </w:rPr>
              <w:tab/>
            </w:r>
          </w:p>
        </w:tc>
      </w:tr>
      <w:tr>
        <w:tc>
          <w:tcPr>
            <w:gridSpan w:val="2"/>
            <w:vAlign w:val="top"/>
          </w:tcPr>
          <w:p w:rsidR="00000000" w:rsidDel="00000000" w:rsidP="00000000" w:rsidRDefault="00000000" w:rsidRPr="00000000" w14:paraId="0000000E">
            <w:pPr>
              <w:shd w:fill="000000" w:val="clear"/>
              <w:jc w:val="center"/>
              <w:rPr>
                <w:b w:val="0"/>
                <w:sz w:val="24"/>
                <w:szCs w:val="24"/>
                <w:vertAlign w:val="baseline"/>
              </w:rPr>
            </w:pPr>
            <w:r w:rsidDel="00000000" w:rsidR="00000000" w:rsidRPr="00000000">
              <w:rPr>
                <w:b w:val="1"/>
                <w:sz w:val="24"/>
                <w:szCs w:val="24"/>
                <w:vertAlign w:val="baseline"/>
                <w:rtl w:val="0"/>
              </w:rPr>
              <w:t xml:space="preserve">P R O G R A M A   2 0 14p</w:t>
            </w:r>
            <w:r w:rsidDel="00000000" w:rsidR="00000000" w:rsidRPr="00000000">
              <w:rPr>
                <w:rtl w:val="0"/>
              </w:rPr>
            </w:r>
          </w:p>
        </w:tc>
      </w:tr>
      <w:tr>
        <w:tc>
          <w:tcPr>
            <w:gridSpan w:val="2"/>
            <w:vAlign w:val="top"/>
          </w:tcPr>
          <w:p w:rsidR="00000000" w:rsidDel="00000000" w:rsidP="00000000" w:rsidRDefault="00000000" w:rsidRPr="00000000" w14:paraId="00000010">
            <w:pPr>
              <w:rPr>
                <w:sz w:val="24"/>
                <w:szCs w:val="24"/>
                <w:u w:val="single"/>
                <w:vertAlign w:val="baseline"/>
              </w:rPr>
            </w:pPr>
            <w:r w:rsidDel="00000000" w:rsidR="00000000" w:rsidRPr="00000000">
              <w:rPr>
                <w:rtl w:val="0"/>
              </w:rPr>
            </w:r>
          </w:p>
          <w:tbl>
            <w:tblPr>
              <w:tblStyle w:val="Table2"/>
              <w:tblW w:w="94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9"/>
              <w:tblGridChange w:id="0">
                <w:tblGrid>
                  <w:gridCol w:w="9499"/>
                </w:tblGrid>
              </w:tblGridChange>
            </w:tblGrid>
            <w:tr>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Carrera: Profesorado de Educación Especial Orientación en </w:t>
                  </w:r>
                  <w:r w:rsidDel="00000000" w:rsidR="00000000" w:rsidRPr="00000000">
                    <w:rPr>
                      <w:sz w:val="24"/>
                      <w:szCs w:val="24"/>
                      <w:rtl w:val="0"/>
                    </w:rPr>
                    <w:t xml:space="preserve">Intelectuales</w:t>
                  </w:r>
                  <w:r w:rsidDel="00000000" w:rsidR="00000000" w:rsidRPr="00000000">
                    <w:rPr>
                      <w:rtl w:val="0"/>
                    </w:rPr>
                  </w:r>
                </w:p>
              </w:tc>
            </w:tr>
          </w:tbl>
          <w:p w:rsidR="00000000" w:rsidDel="00000000" w:rsidP="00000000" w:rsidRDefault="00000000" w:rsidRPr="00000000" w14:paraId="00000012">
            <w:pPr>
              <w:jc w:val="cente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14">
            <w:pPr>
              <w:jc w:val="center"/>
              <w:rPr>
                <w:sz w:val="24"/>
                <w:szCs w:val="24"/>
                <w:vertAlign w:val="baseline"/>
              </w:rPr>
            </w:pPr>
            <w:r w:rsidDel="00000000" w:rsidR="00000000" w:rsidRPr="00000000">
              <w:rPr>
                <w:sz w:val="24"/>
                <w:szCs w:val="24"/>
                <w:vertAlign w:val="baseline"/>
                <w:rtl w:val="0"/>
              </w:rPr>
              <w:t xml:space="preserve"> </w:t>
            </w:r>
          </w:p>
          <w:tbl>
            <w:tblPr>
              <w:tblStyle w:val="Table3"/>
              <w:tblW w:w="48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8"/>
              <w:tblGridChange w:id="0">
                <w:tblGrid>
                  <w:gridCol w:w="4898"/>
                </w:tblGrid>
              </w:tblGridChange>
            </w:tblGrid>
            <w:t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MÖDULO</w:t>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jc w:val="center"/>
              <w:rPr>
                <w:sz w:val="24"/>
                <w:szCs w:val="24"/>
                <w:vertAlign w:val="baseline"/>
              </w:rPr>
            </w:pPr>
            <w:r w:rsidDel="00000000" w:rsidR="00000000" w:rsidRPr="00000000">
              <w:rPr>
                <w:b w:val="1"/>
                <w:sz w:val="24"/>
                <w:szCs w:val="24"/>
                <w:rtl w:val="0"/>
              </w:rPr>
              <w:t xml:space="preserve">Educación de jóvenes y adultos y formación integral</w:t>
            </w:r>
            <w:r w:rsidDel="00000000" w:rsidR="00000000" w:rsidRPr="00000000">
              <w:rPr>
                <w:rtl w:val="0"/>
              </w:rPr>
            </w:r>
          </w:p>
        </w:tc>
        <w:tc>
          <w:tcPr>
            <w:vAlign w:val="top"/>
          </w:tcPr>
          <w:p w:rsidR="00000000" w:rsidDel="00000000" w:rsidP="00000000" w:rsidRDefault="00000000" w:rsidRPr="00000000" w14:paraId="00000018">
            <w:pPr>
              <w:jc w:val="center"/>
              <w:rPr>
                <w:sz w:val="24"/>
                <w:szCs w:val="24"/>
                <w:vertAlign w:val="baseline"/>
              </w:rPr>
            </w:pPr>
            <w:r w:rsidDel="00000000" w:rsidR="00000000" w:rsidRPr="00000000">
              <w:rPr>
                <w:rtl w:val="0"/>
              </w:rPr>
            </w:r>
          </w:p>
          <w:p w:rsidR="00000000" w:rsidDel="00000000" w:rsidP="00000000" w:rsidRDefault="00000000" w:rsidRPr="00000000" w14:paraId="00000019">
            <w:pPr>
              <w:jc w:val="center"/>
              <w:rPr>
                <w:sz w:val="24"/>
                <w:szCs w:val="24"/>
                <w:vertAlign w:val="baseline"/>
              </w:rPr>
            </w:pPr>
            <w:r w:rsidDel="00000000" w:rsidR="00000000" w:rsidRPr="00000000">
              <w:rPr>
                <w:sz w:val="24"/>
                <w:szCs w:val="24"/>
                <w:vertAlign w:val="baseline"/>
                <w:rtl w:val="0"/>
              </w:rPr>
              <w:t xml:space="preserve">Equipo Docente: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Laura</w:t>
            </w:r>
            <w:r w:rsidDel="00000000" w:rsidR="00000000" w:rsidRPr="00000000">
              <w:rPr>
                <w:sz w:val="24"/>
                <w:szCs w:val="24"/>
                <w:rtl w:val="0"/>
              </w:rPr>
              <w:t xml:space="preserve"> Coutaz</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Leticia Legaz</w:t>
            </w:r>
          </w:p>
          <w:p w:rsidR="00000000" w:rsidDel="00000000" w:rsidP="00000000" w:rsidRDefault="00000000" w:rsidRPr="00000000" w14:paraId="0000001C">
            <w:pPr>
              <w:jc w:val="center"/>
              <w:rPr>
                <w:sz w:val="24"/>
                <w:szCs w:val="24"/>
                <w:vertAlign w:val="baseline"/>
              </w:rPr>
            </w:pP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01D">
            <w:pPr>
              <w:shd w:fill="000000" w:val="clear"/>
              <w:rPr>
                <w:b w:val="0"/>
                <w:color w:val="ffffff"/>
                <w:sz w:val="24"/>
                <w:szCs w:val="24"/>
                <w:vertAlign w:val="baseline"/>
              </w:rPr>
            </w:pPr>
            <w:r w:rsidDel="00000000" w:rsidR="00000000" w:rsidRPr="00000000">
              <w:rPr>
                <w:b w:val="1"/>
                <w:color w:val="ffffff"/>
                <w:sz w:val="24"/>
                <w:szCs w:val="24"/>
                <w:vertAlign w:val="baseline"/>
                <w:rtl w:val="0"/>
              </w:rPr>
              <w:t xml:space="preserve">1. FUNDAMENTACIÓN</w:t>
            </w:r>
            <w:r w:rsidDel="00000000" w:rsidR="00000000" w:rsidRPr="00000000">
              <w:rPr>
                <w:rtl w:val="0"/>
              </w:rPr>
            </w:r>
          </w:p>
          <w:tbl>
            <w:tblPr>
              <w:tblStyle w:val="Table4"/>
              <w:tblW w:w="9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9"/>
              <w:tblGridChange w:id="0">
                <w:tblGrid>
                  <w:gridCol w:w="9489"/>
                </w:tblGrid>
              </w:tblGridChange>
            </w:tblGrid>
            <w:tr>
              <w:tc>
                <w:tcPr>
                  <w:vAlign w:val="top"/>
                </w:tcPr>
                <w:p w:rsidR="00000000" w:rsidDel="00000000" w:rsidP="00000000" w:rsidRDefault="00000000" w:rsidRPr="00000000" w14:paraId="0000001E">
                  <w:pPr>
                    <w:jc w:val="both"/>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E</w:t>
                  </w:r>
                  <w:r w:rsidDel="00000000" w:rsidR="00000000" w:rsidRPr="00000000">
                    <w:rPr>
                      <w:sz w:val="24"/>
                      <w:szCs w:val="24"/>
                      <w:rtl w:val="0"/>
                    </w:rPr>
                    <w:t xml:space="preserve">sta propuesta académica “Educación de Jóvenes y adultos y formación integral” surge de la actualización de las instancias académicas de “Terapia Ocupacional y formación laboral”; y a su vez de “Integración Sociolaboral”.  Esta readecuación coincide con el cambio que se establece en la transformación de las clásicas escuelas de formación laboral a las actuales escuelas de formación integral.</w:t>
                  </w:r>
                </w:p>
                <w:p w:rsidR="00000000" w:rsidDel="00000000" w:rsidP="00000000" w:rsidRDefault="00000000" w:rsidRPr="00000000" w14:paraId="00000020">
                  <w:pPr>
                    <w:spacing w:line="360" w:lineRule="auto"/>
                    <w:jc w:val="both"/>
                    <w:rPr>
                      <w:sz w:val="24"/>
                      <w:szCs w:val="24"/>
                      <w:highlight w:val="white"/>
                    </w:rPr>
                  </w:pPr>
                  <w:r w:rsidDel="00000000" w:rsidR="00000000" w:rsidRPr="00000000">
                    <w:rPr>
                      <w:sz w:val="24"/>
                      <w:szCs w:val="24"/>
                      <w:highlight w:val="white"/>
                      <w:rtl w:val="0"/>
                    </w:rPr>
                    <w:t xml:space="preserve">C</w:t>
                  </w:r>
                  <w:r w:rsidDel="00000000" w:rsidR="00000000" w:rsidRPr="00000000">
                    <w:rPr>
                      <w:sz w:val="24"/>
                      <w:szCs w:val="24"/>
                      <w:highlight w:val="white"/>
                      <w:rtl w:val="0"/>
                    </w:rPr>
                    <w:t xml:space="preserve">orresponde a una unidad curricular del cuarto año de la carrera del Profesorado de Educación Especial en Discapacidad Intelectual, por lo que se ha tenido en cuenta, y se sustenta, en el Diseño Curricular Provincial (Resolución Ministerial N° 24/12), la Ley de Educación  Nacional N° 26206 (LEN), los Lineamientos Nacionales del Infod y el PEI de la Institución Formadora.</w:t>
                  </w:r>
                </w:p>
                <w:p w:rsidR="00000000" w:rsidDel="00000000" w:rsidP="00000000" w:rsidRDefault="00000000" w:rsidRPr="00000000" w14:paraId="00000021">
                  <w:pPr>
                    <w:spacing w:line="360" w:lineRule="auto"/>
                    <w:jc w:val="both"/>
                    <w:rPr>
                      <w:sz w:val="24"/>
                      <w:szCs w:val="24"/>
                      <w:highlight w:val="white"/>
                    </w:rPr>
                  </w:pPr>
                  <w:r w:rsidDel="00000000" w:rsidR="00000000" w:rsidRPr="00000000">
                    <w:rPr>
                      <w:sz w:val="24"/>
                      <w:szCs w:val="24"/>
                      <w:highlight w:val="white"/>
                      <w:rtl w:val="0"/>
                    </w:rPr>
                    <w:t xml:space="preserve">Tal como lo sostienen el Infod, y otros documentos, abordar problemáticas referidas a la vida adulta y a la inserción en el mundo del trabajo es un desafío permanente cuando se trabaja con personas con discapacidad, y deben desarrollarse todas las estrategias y recursos que posibiliten efectivamente este tipo de acciones que promuevan la inserción socio-laboral.</w:t>
                  </w:r>
                </w:p>
                <w:p w:rsidR="00000000" w:rsidDel="00000000" w:rsidP="00000000" w:rsidRDefault="00000000" w:rsidRPr="00000000" w14:paraId="00000022">
                  <w:pPr>
                    <w:spacing w:line="360" w:lineRule="auto"/>
                    <w:jc w:val="both"/>
                    <w:rPr>
                      <w:sz w:val="24"/>
                      <w:szCs w:val="24"/>
                      <w:highlight w:val="white"/>
                    </w:rPr>
                  </w:pPr>
                  <w:r w:rsidDel="00000000" w:rsidR="00000000" w:rsidRPr="00000000">
                    <w:rPr>
                      <w:sz w:val="24"/>
                      <w:szCs w:val="24"/>
                      <w:highlight w:val="white"/>
                      <w:rtl w:val="0"/>
                    </w:rPr>
                    <w:t xml:space="preserve">Tampoco debemos dejar de lado que al definir la LEN que la Educación Especial debe “asegurar el derecho a la educación de las personas con discapacidades, temporales o permanentes, en todos los niveles y modalidades del Sistema Educativo”, define también y en consecuencia una orientación importante respecto de la </w:t>
                  </w:r>
                  <w:r w:rsidDel="00000000" w:rsidR="00000000" w:rsidRPr="00000000">
                    <w:rPr>
                      <w:b w:val="1"/>
                      <w:sz w:val="24"/>
                      <w:szCs w:val="24"/>
                      <w:highlight w:val="white"/>
                      <w:rtl w:val="0"/>
                    </w:rPr>
                    <w:t xml:space="preserve">variedad de ámbitos</w:t>
                  </w:r>
                  <w:r w:rsidDel="00000000" w:rsidR="00000000" w:rsidRPr="00000000">
                    <w:rPr>
                      <w:sz w:val="24"/>
                      <w:szCs w:val="24"/>
                      <w:highlight w:val="white"/>
                      <w:rtl w:val="0"/>
                    </w:rPr>
                    <w:t xml:space="preserve"> en los que el docente de educación especial podrá desempeñarse. Estos ámbitos diversos se ubican a su vez en contextos muy distintos, ya sea por sus rasgos objetivos (urbanos, urbano-marginales, hospitales, domicilios, cárceles), como por su organización y particular tradición respecto de las prácticas.</w:t>
                  </w:r>
                </w:p>
                <w:p w:rsidR="00000000" w:rsidDel="00000000" w:rsidP="00000000" w:rsidRDefault="00000000" w:rsidRPr="00000000" w14:paraId="00000023">
                  <w:pPr>
                    <w:spacing w:line="360" w:lineRule="auto"/>
                    <w:jc w:val="both"/>
                    <w:rPr>
                      <w:sz w:val="24"/>
                      <w:szCs w:val="24"/>
                      <w:highlight w:val="white"/>
                    </w:rPr>
                  </w:pPr>
                  <w:r w:rsidDel="00000000" w:rsidR="00000000" w:rsidRPr="00000000">
                    <w:rPr>
                      <w:sz w:val="24"/>
                      <w:szCs w:val="24"/>
                      <w:highlight w:val="white"/>
                      <w:rtl w:val="0"/>
                    </w:rPr>
                    <w:t xml:space="preserve">Se debe trabajar intensamente para producir condiciones favorables en la sociedad, la familia, la escuela y el individuo, para que éste pueda integrarse como un ciudadano más, participando del derecho a dirigir su propia vida, y recibiendo los apoyos necesarios para el desenvolvimiento en la escuela, el empleo, la vida en la comunidad, la recreación y la autonomía.</w:t>
                  </w:r>
                </w:p>
                <w:p w:rsidR="00000000" w:rsidDel="00000000" w:rsidP="00000000" w:rsidRDefault="00000000" w:rsidRPr="00000000" w14:paraId="00000024">
                  <w:pPr>
                    <w:spacing w:line="360" w:lineRule="auto"/>
                    <w:jc w:val="both"/>
                    <w:rPr>
                      <w:sz w:val="24"/>
                      <w:szCs w:val="24"/>
                      <w:highlight w:val="white"/>
                    </w:rPr>
                  </w:pPr>
                  <w:r w:rsidDel="00000000" w:rsidR="00000000" w:rsidRPr="00000000">
                    <w:rPr>
                      <w:sz w:val="24"/>
                      <w:szCs w:val="24"/>
                      <w:highlight w:val="white"/>
                      <w:rtl w:val="0"/>
                    </w:rPr>
                    <w:t xml:space="preserve">Quienes trabajamos en la inserción sociolaboral de las personas con discapacidad, sabemos que el trabajo se debe realizar no sólo  con y junto a las familias de las personas con discapacidad; para formar una conciencia pública y social sobre la discapacidad, entendiéndola como una característica normal y predecible del proceso humano, será indispensable llevar adelante acciones a favor de la legislación, la investigación, la actualización y formación de profesionales, la sensibilización y difusión así como la vinculación con organizaciones que trabajen en forma interdisciplinaria.</w:t>
                  </w:r>
                </w:p>
                <w:p w:rsidR="00000000" w:rsidDel="00000000" w:rsidP="00000000" w:rsidRDefault="00000000" w:rsidRPr="00000000" w14:paraId="00000025">
                  <w:pPr>
                    <w:spacing w:line="360" w:lineRule="auto"/>
                    <w:jc w:val="both"/>
                    <w:rPr>
                      <w:sz w:val="24"/>
                      <w:szCs w:val="24"/>
                      <w:highlight w:val="white"/>
                    </w:rPr>
                  </w:pPr>
                  <w:r w:rsidDel="00000000" w:rsidR="00000000" w:rsidRPr="00000000">
                    <w:rPr>
                      <w:sz w:val="24"/>
                      <w:szCs w:val="24"/>
                      <w:highlight w:val="white"/>
                      <w:rtl w:val="0"/>
                    </w:rPr>
                    <w:t xml:space="preserve">Es relevante avanzar en la reflexión sobre el interjuego entre los derechos de las personas con discapacidad y las obligaciones que la sociedad tiene en relación con sus necesidades, de manera de poder generar actitudes de respeto que promuevan que las personas con discapacidad puedan hacer elecciones personales sobre su propia vida.</w:t>
                  </w:r>
                </w:p>
                <w:p w:rsidR="00000000" w:rsidDel="00000000" w:rsidP="00000000" w:rsidRDefault="00000000" w:rsidRPr="00000000" w14:paraId="00000026">
                  <w:pPr>
                    <w:spacing w:line="360" w:lineRule="auto"/>
                    <w:jc w:val="both"/>
                    <w:rPr>
                      <w:sz w:val="24"/>
                      <w:szCs w:val="24"/>
                      <w:highlight w:val="white"/>
                    </w:rPr>
                  </w:pPr>
                  <w:r w:rsidDel="00000000" w:rsidR="00000000" w:rsidRPr="00000000">
                    <w:rPr>
                      <w:sz w:val="24"/>
                      <w:szCs w:val="24"/>
                      <w:highlight w:val="white"/>
                      <w:rtl w:val="0"/>
                    </w:rPr>
                    <w:t xml:space="preserve">La legislación argentina y las políticas de inserción laboral para las personas con discapacidad consideran que hay personas con discapacidad que se encuentran en condiciones de ingresar al mercado laboral competitivo, para quienes en consecuencia se prevén medidas de fomento para su contratación y capacitación laboral. Asimismo, se debe tener en cuenta también que no todas las personas con discapacidad se encuentran en condiciones de ingresar al mercado laboral competitivo por lo que se cuenta con otras propuestas como Talleres Protegidos de Producción, Fundaciones, ONG, Centros de día; entre otras; o que, para ingresar al mundo laboral, requieren de un proceso de adaptación laboral y capacitación. A estas  personas se les deberá ofrecer la posibilidad de incluirse en el mercado laboral con algún tipo de seguimiento siendo una respuesta a la misma el Empleo con Apoyo.</w:t>
                  </w:r>
                </w:p>
                <w:p w:rsidR="00000000" w:rsidDel="00000000" w:rsidP="00000000" w:rsidRDefault="00000000" w:rsidRPr="00000000" w14:paraId="00000027">
                  <w:pPr>
                    <w:spacing w:line="360" w:lineRule="auto"/>
                    <w:jc w:val="both"/>
                    <w:rPr>
                      <w:b w:val="1"/>
                      <w:sz w:val="24"/>
                      <w:szCs w:val="24"/>
                      <w:highlight w:val="white"/>
                    </w:rPr>
                  </w:pPr>
                  <w:r w:rsidDel="00000000" w:rsidR="00000000" w:rsidRPr="00000000">
                    <w:rPr>
                      <w:b w:val="1"/>
                      <w:sz w:val="24"/>
                      <w:szCs w:val="24"/>
                      <w:highlight w:val="white"/>
                      <w:rtl w:val="0"/>
                    </w:rPr>
                    <w:t xml:space="preserve">En este sentido resulta de fundamental importancia formar al futuro docente en una postura que exceda el ámbito del desempeño escolar propiamente dicho y lo ubique siendo parte activa de las acciones de educación permanente en todos sus aspectos.</w:t>
                  </w:r>
                </w:p>
                <w:p w:rsidR="00000000" w:rsidDel="00000000" w:rsidP="00000000" w:rsidRDefault="00000000" w:rsidRPr="00000000" w14:paraId="00000028">
                  <w:pPr>
                    <w:spacing w:line="360" w:lineRule="auto"/>
                    <w:jc w:val="both"/>
                    <w:rPr>
                      <w:sz w:val="24"/>
                      <w:szCs w:val="24"/>
                      <w:highlight w:val="white"/>
                    </w:rPr>
                  </w:pPr>
                  <w:r w:rsidDel="00000000" w:rsidR="00000000" w:rsidRPr="00000000">
                    <w:rPr>
                      <w:sz w:val="24"/>
                      <w:szCs w:val="24"/>
                      <w:highlight w:val="white"/>
                      <w:rtl w:val="0"/>
                    </w:rPr>
                    <w:t xml:space="preserve">En este encuadre el futuro docente necesitará plantearse y replantearse su concepción sobre las personas con discapacidad intelectual, como también la significación funcional de los contenidos a trabajar y las estrategias a implementar desde su rol, para favorecer la integración e inclusión de estas personas en los diversos ámbitos de la comunidad.</w:t>
                  </w:r>
                </w:p>
                <w:p w:rsidR="00000000" w:rsidDel="00000000" w:rsidP="00000000" w:rsidRDefault="00000000" w:rsidRPr="00000000" w14:paraId="00000029">
                  <w:pPr>
                    <w:spacing w:line="360" w:lineRule="auto"/>
                    <w:ind w:firstLine="700"/>
                    <w:jc w:val="both"/>
                    <w:rPr>
                      <w:sz w:val="24"/>
                      <w:szCs w:val="24"/>
                      <w:highlight w:val="white"/>
                    </w:rPr>
                  </w:pPr>
                  <w:r w:rsidDel="00000000" w:rsidR="00000000" w:rsidRPr="00000000">
                    <w:rPr>
                      <w:sz w:val="24"/>
                      <w:szCs w:val="24"/>
                      <w:highlight w:val="white"/>
                      <w:rtl w:val="0"/>
                    </w:rPr>
                    <w:t xml:space="preserve">En relación a la  formación del estudiante brindará est</w:t>
                  </w:r>
                  <w:r w:rsidDel="00000000" w:rsidR="00000000" w:rsidRPr="00000000">
                    <w:rPr>
                      <w:sz w:val="24"/>
                      <w:szCs w:val="24"/>
                      <w:highlight w:val="white"/>
                      <w:rtl w:val="0"/>
                    </w:rPr>
                    <w:t xml:space="preserve">e seminario </w:t>
                  </w:r>
                  <w:r w:rsidDel="00000000" w:rsidR="00000000" w:rsidRPr="00000000">
                    <w:rPr>
                      <w:sz w:val="24"/>
                      <w:szCs w:val="24"/>
                      <w:highlight w:val="white"/>
                      <w:rtl w:val="0"/>
                    </w:rPr>
                    <w:t xml:space="preserve">elementos teórico-prácticos, destinada a comprender los procesos de evaluación, formación e integración socio-laboral de la persona con discapacidad intelectual.</w:t>
                  </w:r>
                </w:p>
                <w:p w:rsidR="00000000" w:rsidDel="00000000" w:rsidP="00000000" w:rsidRDefault="00000000" w:rsidRPr="00000000" w14:paraId="0000002A">
                  <w:pP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bl>
          <w:p w:rsidR="00000000" w:rsidDel="00000000" w:rsidP="00000000" w:rsidRDefault="00000000" w:rsidRPr="00000000" w14:paraId="0000002C">
            <w:pPr>
              <w:shd w:fill="000000" w:val="clear"/>
              <w:rPr>
                <w:b w:val="0"/>
                <w:color w:val="ffffff"/>
                <w:sz w:val="24"/>
                <w:szCs w:val="24"/>
                <w:highlight w:val="black"/>
                <w:vertAlign w:val="baseline"/>
              </w:rPr>
            </w:pPr>
            <w:r w:rsidDel="00000000" w:rsidR="00000000" w:rsidRPr="00000000">
              <w:rPr>
                <w:b w:val="1"/>
                <w:color w:val="ffffff"/>
                <w:sz w:val="24"/>
                <w:szCs w:val="24"/>
                <w:highlight w:val="black"/>
                <w:vertAlign w:val="baseline"/>
                <w:rtl w:val="0"/>
              </w:rPr>
              <w:t xml:space="preserve">2. OBJETIVOS</w:t>
            </w:r>
            <w:r w:rsidDel="00000000" w:rsidR="00000000" w:rsidRPr="00000000">
              <w:rPr>
                <w:rtl w:val="0"/>
              </w:rPr>
            </w:r>
          </w:p>
          <w:tbl>
            <w:tblPr>
              <w:tblStyle w:val="Table5"/>
              <w:tblW w:w="9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9"/>
              <w:tblGridChange w:id="0">
                <w:tblGrid>
                  <w:gridCol w:w="9489"/>
                </w:tblGrid>
              </w:tblGridChange>
            </w:tblGrid>
            <w:tr>
              <w:tc>
                <w:tcPr>
                  <w:vAlign w:val="top"/>
                </w:tcPr>
                <w:p w:rsidR="00000000" w:rsidDel="00000000" w:rsidP="00000000" w:rsidRDefault="00000000" w:rsidRPr="00000000" w14:paraId="0000002D">
                  <w:pPr>
                    <w:spacing w:line="360" w:lineRule="auto"/>
                    <w:ind w:left="0" w:firstLine="0"/>
                    <w:jc w:val="both"/>
                    <w:rPr>
                      <w:sz w:val="24"/>
                      <w:szCs w:val="24"/>
                      <w:vertAlign w:val="baseline"/>
                    </w:rPr>
                  </w:pPr>
                  <w:r w:rsidDel="00000000" w:rsidR="00000000" w:rsidRPr="00000000">
                    <w:rPr>
                      <w:sz w:val="24"/>
                      <w:szCs w:val="24"/>
                      <w:vertAlign w:val="baseline"/>
                      <w:rtl w:val="0"/>
                    </w:rPr>
                    <w:t xml:space="preserve">Al acreditar el </w:t>
                  </w:r>
                  <w:r w:rsidDel="00000000" w:rsidR="00000000" w:rsidRPr="00000000">
                    <w:rPr>
                      <w:sz w:val="24"/>
                      <w:szCs w:val="24"/>
                      <w:rtl w:val="0"/>
                    </w:rPr>
                    <w:t xml:space="preserve">seminario Educacion de Jovenes y Adultos y formación integral,</w:t>
                  </w:r>
                  <w:r w:rsidDel="00000000" w:rsidR="00000000" w:rsidRPr="00000000">
                    <w:rPr>
                      <w:sz w:val="24"/>
                      <w:szCs w:val="24"/>
                      <w:vertAlign w:val="baseline"/>
                      <w:rtl w:val="0"/>
                    </w:rPr>
                    <w:t xml:space="preserve">, los alumnos deberán demostrar que son capaces de: </w:t>
                  </w:r>
                </w:p>
                <w:p w:rsidR="00000000" w:rsidDel="00000000" w:rsidP="00000000" w:rsidRDefault="00000000" w:rsidRPr="00000000" w14:paraId="0000002E">
                  <w:pPr>
                    <w:numPr>
                      <w:ilvl w:val="0"/>
                      <w:numId w:val="6"/>
                    </w:numPr>
                    <w:spacing w:line="360" w:lineRule="auto"/>
                    <w:ind w:left="720" w:hanging="360"/>
                    <w:jc w:val="both"/>
                    <w:rPr>
                      <w:rFonts w:ascii="Garamond" w:cs="Garamond" w:eastAsia="Garamond" w:hAnsi="Garamond"/>
                      <w:sz w:val="22"/>
                      <w:szCs w:val="22"/>
                      <w:highlight w:val="white"/>
                    </w:rPr>
                  </w:pPr>
                  <w:r w:rsidDel="00000000" w:rsidR="00000000" w:rsidRPr="00000000">
                    <w:rPr>
                      <w:rFonts w:ascii="Garamond" w:cs="Garamond" w:eastAsia="Garamond" w:hAnsi="Garamond"/>
                      <w:sz w:val="24"/>
                      <w:szCs w:val="24"/>
                      <w:rtl w:val="0"/>
                    </w:rPr>
                    <w:t xml:space="preserve">Dominar los contenidos del programa de cátedra y ser capaz de contextualizarlos en su tarea docente en el acompañamiento de un joven/adulto.</w:t>
                  </w:r>
                  <w:r w:rsidDel="00000000" w:rsidR="00000000" w:rsidRPr="00000000">
                    <w:rPr>
                      <w:rtl w:val="0"/>
                    </w:rPr>
                  </w:r>
                </w:p>
                <w:p w:rsidR="00000000" w:rsidDel="00000000" w:rsidP="00000000" w:rsidRDefault="00000000" w:rsidRPr="00000000" w14:paraId="0000002F">
                  <w:pPr>
                    <w:numPr>
                      <w:ilvl w:val="0"/>
                      <w:numId w:val="6"/>
                    </w:numPr>
                    <w:spacing w:line="360" w:lineRule="auto"/>
                    <w:ind w:left="720" w:hanging="360"/>
                    <w:jc w:val="both"/>
                    <w:rPr>
                      <w:rFonts w:ascii="Garamond" w:cs="Garamond" w:eastAsia="Garamond" w:hAnsi="Garamond"/>
                      <w:sz w:val="22"/>
                      <w:szCs w:val="22"/>
                      <w:highlight w:val="white"/>
                    </w:rPr>
                  </w:pPr>
                  <w:r w:rsidDel="00000000" w:rsidR="00000000" w:rsidRPr="00000000">
                    <w:rPr>
                      <w:rFonts w:ascii="Garamond" w:cs="Garamond" w:eastAsia="Garamond" w:hAnsi="Garamond"/>
                      <w:sz w:val="24"/>
                      <w:szCs w:val="24"/>
                      <w:highlight w:val="white"/>
                      <w:rtl w:val="0"/>
                    </w:rPr>
                    <w:t xml:space="preserve">Estar en condiciones de fundamentar teóricamente las prácticas que fomenten la  educacion y formacion de las personas con discapacidad intelectual.</w:t>
                  </w:r>
                </w:p>
                <w:p w:rsidR="00000000" w:rsidDel="00000000" w:rsidP="00000000" w:rsidRDefault="00000000" w:rsidRPr="00000000" w14:paraId="00000030">
                  <w:pPr>
                    <w:numPr>
                      <w:ilvl w:val="0"/>
                      <w:numId w:val="6"/>
                    </w:numPr>
                    <w:spacing w:line="360" w:lineRule="auto"/>
                    <w:ind w:left="720" w:hanging="360"/>
                    <w:jc w:val="both"/>
                    <w:rPr>
                      <w:rFonts w:ascii="Garamond" w:cs="Garamond" w:eastAsia="Garamond" w:hAnsi="Garamond"/>
                      <w:sz w:val="22"/>
                      <w:szCs w:val="22"/>
                      <w:highlight w:val="white"/>
                    </w:rPr>
                  </w:pPr>
                  <w:r w:rsidDel="00000000" w:rsidR="00000000" w:rsidRPr="00000000">
                    <w:rPr>
                      <w:rFonts w:ascii="Garamond" w:cs="Garamond" w:eastAsia="Garamond" w:hAnsi="Garamond"/>
                      <w:sz w:val="24"/>
                      <w:szCs w:val="24"/>
                      <w:highlight w:val="white"/>
                      <w:rtl w:val="0"/>
                    </w:rPr>
                    <w:t xml:space="preserve">Ser capaz de conocer los programas locales de formación laboral y de inserción laboral, tanto públicos como privados.</w:t>
                  </w:r>
                </w:p>
                <w:p w:rsidR="00000000" w:rsidDel="00000000" w:rsidP="00000000" w:rsidRDefault="00000000" w:rsidRPr="00000000" w14:paraId="00000031">
                  <w:pPr>
                    <w:numPr>
                      <w:ilvl w:val="0"/>
                      <w:numId w:val="6"/>
                    </w:numPr>
                    <w:spacing w:line="360" w:lineRule="auto"/>
                    <w:ind w:left="720" w:hanging="360"/>
                    <w:jc w:val="both"/>
                    <w:rPr>
                      <w:rFonts w:ascii="Garamond" w:cs="Garamond" w:eastAsia="Garamond" w:hAnsi="Garamond"/>
                      <w:sz w:val="22"/>
                      <w:szCs w:val="22"/>
                      <w:highlight w:val="white"/>
                    </w:rPr>
                  </w:pPr>
                  <w:r w:rsidDel="00000000" w:rsidR="00000000" w:rsidRPr="00000000">
                    <w:rPr>
                      <w:rFonts w:ascii="Garamond" w:cs="Garamond" w:eastAsia="Garamond" w:hAnsi="Garamond"/>
                      <w:sz w:val="24"/>
                      <w:szCs w:val="24"/>
                      <w:highlight w:val="white"/>
                      <w:rtl w:val="0"/>
                    </w:rPr>
                    <w:t xml:space="preserve">Ser capaz de analizar el rol docente dentro del proceso de educación, formación e integración laboral de las personas con discapacidad intelectual.</w:t>
                  </w:r>
                </w:p>
                <w:p w:rsidR="00000000" w:rsidDel="00000000" w:rsidP="00000000" w:rsidRDefault="00000000" w:rsidRPr="00000000" w14:paraId="00000032">
                  <w:pPr>
                    <w:numPr>
                      <w:ilvl w:val="0"/>
                      <w:numId w:val="6"/>
                    </w:numPr>
                    <w:spacing w:line="36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Estar en condiciones de Implementar una Planificación Centrada en la Persona.</w:t>
                  </w:r>
                </w:p>
                <w:p w:rsidR="00000000" w:rsidDel="00000000" w:rsidP="00000000" w:rsidRDefault="00000000" w:rsidRPr="00000000" w14:paraId="00000033">
                  <w:pPr>
                    <w:numPr>
                      <w:ilvl w:val="0"/>
                      <w:numId w:val="6"/>
                    </w:numPr>
                    <w:spacing w:line="36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Utilizar vocabulario específico.</w:t>
                  </w:r>
                  <w:r w:rsidDel="00000000" w:rsidR="00000000" w:rsidRPr="00000000">
                    <w:rPr>
                      <w:rtl w:val="0"/>
                    </w:rPr>
                  </w:r>
                </w:p>
                <w:p w:rsidR="00000000" w:rsidDel="00000000" w:rsidP="00000000" w:rsidRDefault="00000000" w:rsidRPr="00000000" w14:paraId="00000034">
                  <w:pPr>
                    <w:numPr>
                      <w:ilvl w:val="0"/>
                      <w:numId w:val="6"/>
                    </w:numPr>
                    <w:spacing w:line="360" w:lineRule="auto"/>
                    <w:ind w:left="720" w:hanging="360"/>
                    <w:jc w:val="both"/>
                    <w:rPr>
                      <w:rFonts w:ascii="Garamond" w:cs="Garamond" w:eastAsia="Garamond" w:hAnsi="Garamond"/>
                      <w:sz w:val="22"/>
                      <w:szCs w:val="22"/>
                      <w:highlight w:val="white"/>
                    </w:rPr>
                  </w:pPr>
                  <w:r w:rsidDel="00000000" w:rsidR="00000000" w:rsidRPr="00000000">
                    <w:rPr>
                      <w:rFonts w:ascii="Garamond" w:cs="Garamond" w:eastAsia="Garamond" w:hAnsi="Garamond"/>
                      <w:sz w:val="24"/>
                      <w:szCs w:val="24"/>
                      <w:highlight w:val="white"/>
                      <w:rtl w:val="0"/>
                    </w:rPr>
                    <w:t xml:space="preserve">Estar en condiciones de efectuar actividades de búsqueda, sistematización y análisis de información de fuentes primarias, de resultados de innovaciones y de investigaciones, así como de bibliografía actualizada sobre los ejes temáticos.</w:t>
                  </w:r>
                </w:p>
                <w:p w:rsidR="00000000" w:rsidDel="00000000" w:rsidP="00000000" w:rsidRDefault="00000000" w:rsidRPr="00000000" w14:paraId="00000035">
                  <w:pPr>
                    <w:spacing w:line="360" w:lineRule="auto"/>
                    <w:jc w:val="both"/>
                    <w:rPr>
                      <w:sz w:val="24"/>
                      <w:szCs w:val="24"/>
                      <w:vertAlign w:val="baseline"/>
                    </w:rPr>
                  </w:pPr>
                  <w:r w:rsidDel="00000000" w:rsidR="00000000" w:rsidRPr="00000000">
                    <w:rPr>
                      <w:rtl w:val="0"/>
                    </w:rPr>
                  </w:r>
                </w:p>
              </w:tc>
            </w:tr>
          </w:tbl>
          <w:p w:rsidR="00000000" w:rsidDel="00000000" w:rsidP="00000000" w:rsidRDefault="00000000" w:rsidRPr="00000000" w14:paraId="00000036">
            <w:pPr>
              <w:shd w:fill="000000" w:val="clear"/>
              <w:rPr>
                <w:b w:val="0"/>
                <w:color w:val="ffffff"/>
                <w:sz w:val="24"/>
                <w:szCs w:val="24"/>
                <w:highlight w:val="black"/>
                <w:vertAlign w:val="baseline"/>
              </w:rPr>
            </w:pPr>
            <w:r w:rsidDel="00000000" w:rsidR="00000000" w:rsidRPr="00000000">
              <w:rPr>
                <w:b w:val="1"/>
                <w:color w:val="ffffff"/>
                <w:sz w:val="24"/>
                <w:szCs w:val="24"/>
                <w:highlight w:val="black"/>
                <w:vertAlign w:val="baseline"/>
                <w:rtl w:val="0"/>
              </w:rPr>
              <w:t xml:space="preserve">3. CONTENIDOS</w:t>
            </w:r>
            <w:r w:rsidDel="00000000" w:rsidR="00000000" w:rsidRPr="00000000">
              <w:rPr>
                <w:rtl w:val="0"/>
              </w:rPr>
            </w:r>
          </w:p>
          <w:tbl>
            <w:tblPr>
              <w:tblStyle w:val="Table6"/>
              <w:tblW w:w="9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9"/>
              <w:tblGridChange w:id="0">
                <w:tblGrid>
                  <w:gridCol w:w="9489"/>
                </w:tblGrid>
              </w:tblGridChange>
            </w:tblGrid>
            <w:tr>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CONTENIDOS CONCEPTUALES</w:t>
                  </w:r>
                </w:p>
                <w:p w:rsidR="00000000" w:rsidDel="00000000" w:rsidP="00000000" w:rsidRDefault="00000000" w:rsidRPr="00000000" w14:paraId="00000039">
                  <w:pPr>
                    <w:spacing w:line="36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3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Unidad 1:</w:t>
                  </w:r>
                  <w:r w:rsidDel="00000000" w:rsidR="00000000" w:rsidRPr="00000000">
                    <w:rPr>
                      <w:rFonts w:ascii="Garamond" w:cs="Garamond" w:eastAsia="Garamond" w:hAnsi="Garamond"/>
                      <w:sz w:val="24"/>
                      <w:szCs w:val="24"/>
                      <w:rtl w:val="0"/>
                    </w:rPr>
                    <w:t xml:space="preserve"> Adultez La discapacidad en la adultez, el proceso familiar.</w:t>
                  </w:r>
                </w:p>
                <w:p w:rsidR="00000000" w:rsidDel="00000000" w:rsidP="00000000" w:rsidRDefault="00000000" w:rsidRPr="00000000" w14:paraId="0000003B">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trabajo definición. Evolución histórica del concepto de trabajo.</w:t>
                  </w:r>
                </w:p>
                <w:p w:rsidR="00000000" w:rsidDel="00000000" w:rsidP="00000000" w:rsidRDefault="00000000" w:rsidRPr="00000000" w14:paraId="0000003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Ocupación, trabajo y empleo.  El trabajo como integrador social en primer orden, valor social y moral del trabajo.</w:t>
                  </w:r>
                </w:p>
                <w:p w:rsidR="00000000" w:rsidDel="00000000" w:rsidP="00000000" w:rsidRDefault="00000000" w:rsidRPr="00000000" w14:paraId="0000003D">
                  <w:pPr>
                    <w:spacing w:line="360" w:lineRule="auto"/>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Unidad 2</w:t>
                  </w:r>
                  <w:r w:rsidDel="00000000" w:rsidR="00000000" w:rsidRPr="00000000">
                    <w:rPr>
                      <w:rFonts w:ascii="Garamond" w:cs="Garamond" w:eastAsia="Garamond" w:hAnsi="Garamond"/>
                      <w:sz w:val="24"/>
                      <w:szCs w:val="24"/>
                      <w:rtl w:val="0"/>
                    </w:rPr>
                    <w:t xml:space="preserve"> Áreas ocupacionales  Actividades de la vida diaria. Clasificación. Adquisición y  entrenamiento en actividades de la vida diaria. Proyecto de vida adulta como derecho. Autodeterminación. Planificación centrada en las personas.</w:t>
                  </w:r>
                </w:p>
                <w:p w:rsidR="00000000" w:rsidDel="00000000" w:rsidP="00000000" w:rsidRDefault="00000000" w:rsidRPr="00000000" w14:paraId="0000003F">
                  <w:pPr>
                    <w:spacing w:line="360" w:lineRule="auto"/>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4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Unidad 3</w:t>
                  </w:r>
                  <w:r w:rsidDel="00000000" w:rsidR="00000000" w:rsidRPr="00000000">
                    <w:rPr>
                      <w:rFonts w:ascii="Garamond" w:cs="Garamond" w:eastAsia="Garamond" w:hAnsi="Garamond"/>
                      <w:sz w:val="24"/>
                      <w:szCs w:val="24"/>
                      <w:rtl w:val="0"/>
                    </w:rPr>
                    <w:t xml:space="preserve">: Marco normativo vigente. Cambio de paradigma “Escuelas de formación integral”. La escuela y las diferentes concepciones de vinculación a lo laboral. Marcos pedagógicos y estrategias de articulación entre  educación y formación laboral en el campo de la educación especial. Trayectorias educativas integrales. Diversificación curricular. Diseños curriculares. </w:t>
                  </w:r>
                </w:p>
                <w:p w:rsidR="00000000" w:rsidDel="00000000" w:rsidP="00000000" w:rsidRDefault="00000000" w:rsidRPr="00000000" w14:paraId="00000041">
                  <w:pPr>
                    <w:spacing w:line="360" w:lineRule="auto"/>
                    <w:ind w:right="3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42">
                  <w:pPr>
                    <w:spacing w:line="360" w:lineRule="auto"/>
                    <w:ind w:right="3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Unidad 4: </w:t>
                  </w:r>
                  <w:r w:rsidDel="00000000" w:rsidR="00000000" w:rsidRPr="00000000">
                    <w:rPr>
                      <w:rFonts w:ascii="Garamond" w:cs="Garamond" w:eastAsia="Garamond" w:hAnsi="Garamond"/>
                      <w:sz w:val="24"/>
                      <w:szCs w:val="24"/>
                      <w:rtl w:val="0"/>
                    </w:rPr>
                    <w:t xml:space="preserve">Integración socio –laboral. Ámbitos y procesos de intervención: talleres pre-laborales, micro-emprendimientos, empresas sociales, talleres protegidos, empleo con apoyo, empleo competitivo. Diferenciación. El rol del docente en los proyectos de integración laboral. Ubicación laboral. Trabajo competitivo y productivo.</w:t>
                  </w:r>
                </w:p>
                <w:p w:rsidR="00000000" w:rsidDel="00000000" w:rsidP="00000000" w:rsidRDefault="00000000" w:rsidRPr="00000000" w14:paraId="00000043">
                  <w:pPr>
                    <w:spacing w:line="360" w:lineRule="auto"/>
                    <w:ind w:right="3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44">
                  <w:pPr>
                    <w:spacing w:line="360" w:lineRule="auto"/>
                    <w:ind w:right="3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Unidad 5</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El mercado laboral. Programa de pasantías laborales. El papel del pensamiento estratégico en los contextos laborales actuales. Transferencia uso activo del conocimiento. Ámbitos laborales inclusivos. La empresa inclusiva.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47">
                  <w:pPr>
                    <w:spacing w:line="360" w:lineRule="auto"/>
                    <w:jc w:val="both"/>
                    <w:rPr>
                      <w:rFonts w:ascii="Garamond" w:cs="Garamond" w:eastAsia="Garamond" w:hAnsi="Garamond"/>
                      <w:sz w:val="24"/>
                      <w:szCs w:val="24"/>
                      <w:u w:val="single"/>
                      <w:vertAlign w:val="baseline"/>
                    </w:rPr>
                  </w:pPr>
                  <w:r w:rsidDel="00000000" w:rsidR="00000000" w:rsidRPr="00000000">
                    <w:rPr>
                      <w:sz w:val="24"/>
                      <w:szCs w:val="24"/>
                      <w:u w:val="single"/>
                      <w:vertAlign w:val="baseline"/>
                      <w:rtl w:val="0"/>
                    </w:rPr>
                    <w:t xml:space="preserve">C</w:t>
                  </w:r>
                  <w:r w:rsidDel="00000000" w:rsidR="00000000" w:rsidRPr="00000000">
                    <w:rPr>
                      <w:rFonts w:ascii="Garamond" w:cs="Garamond" w:eastAsia="Garamond" w:hAnsi="Garamond"/>
                      <w:sz w:val="24"/>
                      <w:szCs w:val="24"/>
                      <w:u w:val="single"/>
                      <w:vertAlign w:val="baseline"/>
                      <w:rtl w:val="0"/>
                    </w:rPr>
                    <w:t xml:space="preserve">ONTENIDOS PROCEDIMENTALES GENERALES</w:t>
                  </w:r>
                </w:p>
                <w:p w:rsidR="00000000" w:rsidDel="00000000" w:rsidP="00000000" w:rsidRDefault="00000000" w:rsidRPr="00000000" w14:paraId="00000048">
                  <w:pPr>
                    <w:numPr>
                      <w:ilvl w:val="0"/>
                      <w:numId w:val="5"/>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establecerán los contenidos sobre la base de los conocimientos ya adquiridos, estableciendo argumentaciones teóricas.</w:t>
                  </w:r>
                </w:p>
                <w:p w:rsidR="00000000" w:rsidDel="00000000" w:rsidP="00000000" w:rsidRDefault="00000000" w:rsidRPr="00000000" w14:paraId="00000049">
                  <w:pPr>
                    <w:numPr>
                      <w:ilvl w:val="0"/>
                      <w:numId w:val="5"/>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fortalecerán las competencias en la expresión oral y escrita, formulación de preguntas, respuestas, análisis crítico. Claridad y coherencia.</w:t>
                  </w:r>
                </w:p>
                <w:p w:rsidR="00000000" w:rsidDel="00000000" w:rsidP="00000000" w:rsidRDefault="00000000" w:rsidRPr="00000000" w14:paraId="0000004A">
                  <w:pPr>
                    <w:numPr>
                      <w:ilvl w:val="0"/>
                      <w:numId w:val="5"/>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Capacidad de trabajo en equipo</w:t>
                  </w:r>
                </w:p>
                <w:p w:rsidR="00000000" w:rsidDel="00000000" w:rsidP="00000000" w:rsidRDefault="00000000" w:rsidRPr="00000000" w14:paraId="0000004B">
                  <w:pPr>
                    <w:numPr>
                      <w:ilvl w:val="0"/>
                      <w:numId w:val="5"/>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Uso de diversas herramientas y de la tecnología para la obtención y producción de conocimiento.</w:t>
                  </w:r>
                </w:p>
                <w:p w:rsidR="00000000" w:rsidDel="00000000" w:rsidP="00000000" w:rsidRDefault="00000000" w:rsidRPr="00000000" w14:paraId="0000004C">
                  <w:pPr>
                    <w:numPr>
                      <w:ilvl w:val="0"/>
                      <w:numId w:val="1"/>
                    </w:numPr>
                    <w:spacing w:line="360" w:lineRule="auto"/>
                    <w:ind w:left="720" w:hanging="360"/>
                    <w:jc w:val="both"/>
                    <w:rPr>
                      <w:sz w:val="24"/>
                      <w:szCs w:val="24"/>
                    </w:rPr>
                  </w:pPr>
                  <w:r w:rsidDel="00000000" w:rsidR="00000000" w:rsidRPr="00000000">
                    <w:rPr>
                      <w:rFonts w:ascii="Garamond" w:cs="Garamond" w:eastAsia="Garamond" w:hAnsi="Garamond"/>
                      <w:sz w:val="24"/>
                      <w:szCs w:val="24"/>
                      <w:rtl w:val="0"/>
                    </w:rPr>
                    <w:t xml:space="preserve">Utilización y desarrollo de estrategias didácticas e intervenciones áulicas diferenciadas, recursos  y materiales didácticos adaptados</w:t>
                  </w:r>
                </w:p>
                <w:p w:rsidR="00000000" w:rsidDel="00000000" w:rsidP="00000000" w:rsidRDefault="00000000" w:rsidRPr="00000000" w14:paraId="0000004D">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E">
                  <w:pPr>
                    <w:spacing w:line="360" w:lineRule="auto"/>
                    <w:jc w:val="both"/>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vertAlign w:val="baseline"/>
                      <w:rtl w:val="0"/>
                    </w:rPr>
                    <w:t xml:space="preserve">CONTENIDOS ACTITUDINALES GENERALES</w:t>
                  </w:r>
                  <w:r w:rsidDel="00000000" w:rsidR="00000000" w:rsidRPr="00000000">
                    <w:rPr>
                      <w:rtl w:val="0"/>
                    </w:rPr>
                  </w:r>
                </w:p>
                <w:p w:rsidR="00000000" w:rsidDel="00000000" w:rsidP="00000000" w:rsidRDefault="00000000" w:rsidRPr="00000000" w14:paraId="0000004F">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Desarrollo de posiciones críticas frente a las producciones propias, de los compañeros y de equipo docente, basadas en el respeto mutuo.</w:t>
                  </w:r>
                </w:p>
                <w:p w:rsidR="00000000" w:rsidDel="00000000" w:rsidP="00000000" w:rsidRDefault="00000000" w:rsidRPr="00000000" w14:paraId="00000050">
                  <w:pPr>
                    <w:numPr>
                      <w:ilvl w:val="0"/>
                      <w:numId w:val="3"/>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Valoración y complejización de los contenidos teóricos  desarrollados.</w:t>
                  </w:r>
                </w:p>
                <w:p w:rsidR="00000000" w:rsidDel="00000000" w:rsidP="00000000" w:rsidRDefault="00000000" w:rsidRPr="00000000" w14:paraId="00000051">
                  <w:pPr>
                    <w:numPr>
                      <w:ilvl w:val="0"/>
                      <w:numId w:val="3"/>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Capacidad para la producción de conociendo y aplicación de la teoría en experiencias concretas.</w:t>
                  </w:r>
                </w:p>
                <w:p w:rsidR="00000000" w:rsidDel="00000000" w:rsidP="00000000" w:rsidRDefault="00000000" w:rsidRPr="00000000" w14:paraId="00000052">
                  <w:pPr>
                    <w:numPr>
                      <w:ilvl w:val="0"/>
                      <w:numId w:val="3"/>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Participación activa dentro del espacio académico y en las producciones escritas.</w:t>
                  </w:r>
                </w:p>
                <w:p w:rsidR="00000000" w:rsidDel="00000000" w:rsidP="00000000" w:rsidRDefault="00000000" w:rsidRPr="00000000" w14:paraId="00000053">
                  <w:pPr>
                    <w:numPr>
                      <w:ilvl w:val="0"/>
                      <w:numId w:val="3"/>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Responsabilidad para con el equipo docente, y el uso de los medios formales de comunicación institucional.</w:t>
                  </w:r>
                </w:p>
                <w:p w:rsidR="00000000" w:rsidDel="00000000" w:rsidP="00000000" w:rsidRDefault="00000000" w:rsidRPr="00000000" w14:paraId="00000054">
                  <w:pPr>
                    <w:ind w:left="720"/>
                    <w:jc w:val="both"/>
                    <w:rPr>
                      <w:sz w:val="24"/>
                      <w:szCs w:val="24"/>
                      <w:vertAlign w:val="baseline"/>
                    </w:rPr>
                  </w:pPr>
                  <w:r w:rsidDel="00000000" w:rsidR="00000000" w:rsidRPr="00000000">
                    <w:rPr>
                      <w:rtl w:val="0"/>
                    </w:rPr>
                  </w:r>
                </w:p>
              </w:tc>
            </w:tr>
          </w:tbl>
          <w:p w:rsidR="00000000" w:rsidDel="00000000" w:rsidP="00000000" w:rsidRDefault="00000000" w:rsidRPr="00000000" w14:paraId="00000055">
            <w:pPr>
              <w:shd w:fill="000000" w:val="clear"/>
              <w:rPr>
                <w:b w:val="0"/>
                <w:color w:val="ffffff"/>
                <w:sz w:val="24"/>
                <w:szCs w:val="24"/>
                <w:highlight w:val="black"/>
                <w:vertAlign w:val="baseline"/>
              </w:rPr>
            </w:pPr>
            <w:r w:rsidDel="00000000" w:rsidR="00000000" w:rsidRPr="00000000">
              <w:rPr>
                <w:b w:val="1"/>
                <w:color w:val="ffffff"/>
                <w:sz w:val="24"/>
                <w:szCs w:val="24"/>
                <w:highlight w:val="black"/>
                <w:vertAlign w:val="baseline"/>
                <w:rtl w:val="0"/>
              </w:rPr>
              <w:t xml:space="preserve">4. METODOLOGÍA DE TRABAJO</w:t>
            </w:r>
            <w:r w:rsidDel="00000000" w:rsidR="00000000" w:rsidRPr="00000000">
              <w:rPr>
                <w:rtl w:val="0"/>
              </w:rPr>
            </w:r>
          </w:p>
          <w:tbl>
            <w:tblPr>
              <w:tblStyle w:val="Table7"/>
              <w:tblW w:w="9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9"/>
              <w:tblGridChange w:id="0">
                <w:tblGrid>
                  <w:gridCol w:w="9489"/>
                </w:tblGrid>
              </w:tblGridChange>
            </w:tblGrid>
            <w:tr>
              <w:tc>
                <w:tcPr>
                  <w:tcBorders>
                    <w:bottom w:color="000000" w:space="0" w:sz="0" w:val="nil"/>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sz w:val="18"/>
                      <w:szCs w:val="18"/>
                      <w:rtl w:val="0"/>
                    </w:rPr>
                    <w:t xml:space="preserve">     </w:t>
                  </w:r>
                  <w:r w:rsidDel="00000000" w:rsidR="00000000" w:rsidRPr="00000000">
                    <w:rPr>
                      <w:rFonts w:ascii="Garamond" w:cs="Garamond" w:eastAsia="Garamond" w:hAnsi="Garamond"/>
                      <w:sz w:val="24"/>
                      <w:szCs w:val="24"/>
                      <w:rtl w:val="0"/>
                    </w:rPr>
                    <w:t xml:space="preserve">Este espacio académico se llevará adelante mediante la modalidad de seminario. Esta metodología constituye una instancia académica de estudio de problemas relevantes para la formación profesional, que incluye la reflexión crítica de las concepciones sobre tales problemas, que los alumnos tienen incorporados como resultado de su propia experiencia, para luego profundizar su comprensión a través de la lectura y el debate de materiales bibliográficos, audiovisuales o de investigación. .</w:t>
                  </w:r>
                </w:p>
                <w:p w:rsidR="00000000" w:rsidDel="00000000" w:rsidP="00000000" w:rsidRDefault="00000000" w:rsidRPr="00000000" w14:paraId="00000058">
                  <w:pPr>
                    <w:spacing w:line="360" w:lineRule="auto"/>
                    <w:ind w:firstLine="70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Mediante el seminario los alumnos en un proceso gradual o por aproximaciones, van alcanzando la realidad y descubriendo los problemas que en ella se encuentran a través de la acción –reflexión.</w:t>
                  </w:r>
                </w:p>
                <w:p w:rsidR="00000000" w:rsidDel="00000000" w:rsidP="00000000" w:rsidRDefault="00000000" w:rsidRPr="00000000" w14:paraId="00000059">
                  <w:pPr>
                    <w:spacing w:line="360" w:lineRule="auto"/>
                    <w:ind w:firstLine="70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tenderá al desarrollo en el alumno de habilidades para seleccionar, relacionar y organizar elementos que posee y los nuevos; que le permitan mirar la realidad de forma autónoma y reflexiva y el aprendizaje significativo y funcional de destrezas, aptitudes y valores, que puedan ser usados  en el desempeño de su futuro rol docente.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vertAlign w:val="baseline"/>
                    </w:rPr>
                  </w:pPr>
                  <w:r w:rsidDel="00000000" w:rsidR="00000000" w:rsidRPr="00000000">
                    <w:rPr>
                      <w:rFonts w:ascii="Garamond" w:cs="Garamond" w:eastAsia="Garamond" w:hAnsi="Garamond"/>
                      <w:sz w:val="24"/>
                      <w:szCs w:val="24"/>
                      <w:rtl w:val="0"/>
                    </w:rPr>
                    <w:t xml:space="preserve">Se trabajará en introducción de temas teóricos, trabajo en pequeños grupos, plenarios, trabajos de investigación y producción prop</w:t>
                  </w:r>
                  <w:r w:rsidDel="00000000" w:rsidR="00000000" w:rsidRPr="00000000">
                    <w:rPr>
                      <w:rFonts w:ascii="Arial" w:cs="Arial" w:eastAsia="Arial" w:hAnsi="Arial"/>
                      <w:sz w:val="24"/>
                      <w:szCs w:val="24"/>
                      <w:rtl w:val="0"/>
                    </w:rPr>
                    <w:t xml:space="preserve">ia</w:t>
                  </w:r>
                  <w:r w:rsidDel="00000000" w:rsidR="00000000" w:rsidRPr="00000000">
                    <w:rPr>
                      <w:rtl w:val="0"/>
                    </w:rPr>
                  </w:r>
                </w:p>
              </w:tc>
            </w:tr>
            <w:tr>
              <w:tc>
                <w:tcPr>
                  <w:tcBorders>
                    <w:top w:color="000000" w:space="0" w:sz="0" w:val="nil"/>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C">
            <w:pPr>
              <w:shd w:fill="000000" w:val="clear"/>
              <w:rPr>
                <w:b w:val="0"/>
                <w:color w:val="ffffff"/>
                <w:sz w:val="24"/>
                <w:szCs w:val="24"/>
                <w:highlight w:val="black"/>
                <w:vertAlign w:val="baseline"/>
              </w:rPr>
            </w:pPr>
            <w:r w:rsidDel="00000000" w:rsidR="00000000" w:rsidRPr="00000000">
              <w:rPr>
                <w:b w:val="1"/>
                <w:color w:val="ffffff"/>
                <w:sz w:val="24"/>
                <w:szCs w:val="24"/>
                <w:highlight w:val="black"/>
                <w:vertAlign w:val="baseline"/>
                <w:rtl w:val="0"/>
              </w:rPr>
              <w:t xml:space="preserve">5. EVALUACIÓN (CONDICIONES ALUMNO REGULAR)</w:t>
            </w:r>
            <w:r w:rsidDel="00000000" w:rsidR="00000000" w:rsidRPr="00000000">
              <w:rPr>
                <w:rtl w:val="0"/>
              </w:rPr>
            </w:r>
          </w:p>
          <w:tbl>
            <w:tblPr>
              <w:tblStyle w:val="Table8"/>
              <w:tblW w:w="9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9"/>
              <w:tblGridChange w:id="0">
                <w:tblGrid>
                  <w:gridCol w:w="9489"/>
                </w:tblGrid>
              </w:tblGridChange>
            </w:tblGrid>
            <w:tr>
              <w:tc>
                <w:tcPr>
                  <w:vAlign w:val="top"/>
                </w:tcPr>
                <w:p w:rsidR="00000000" w:rsidDel="00000000" w:rsidP="00000000" w:rsidRDefault="00000000" w:rsidRPr="00000000" w14:paraId="0000005D">
                  <w:pPr>
                    <w:spacing w:after="100" w:before="100"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Acerca de la acreditación:</w:t>
                  </w:r>
                </w:p>
                <w:p w:rsidR="00000000" w:rsidDel="00000000" w:rsidP="00000000" w:rsidRDefault="00000000" w:rsidRPr="00000000" w14:paraId="0000005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Evaluación</w:t>
                  </w:r>
                  <w:r w:rsidDel="00000000" w:rsidR="00000000" w:rsidRPr="00000000">
                    <w:rPr>
                      <w:rFonts w:ascii="Garamond" w:cs="Garamond" w:eastAsia="Garamond" w:hAnsi="Garamond"/>
                      <w:sz w:val="24"/>
                      <w:szCs w:val="24"/>
                      <w:rtl w:val="0"/>
                    </w:rPr>
                    <w:t xml:space="preserve"> La regularidad de dicha materia se logrará:</w:t>
                  </w:r>
                </w:p>
                <w:p w:rsidR="00000000" w:rsidDel="00000000" w:rsidP="00000000" w:rsidRDefault="00000000" w:rsidRPr="00000000" w14:paraId="0000005F">
                  <w:pPr>
                    <w:numPr>
                      <w:ilvl w:val="0"/>
                      <w:numId w:val="4"/>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70 % de asistencia según normativa RAM</w:t>
                  </w:r>
                </w:p>
                <w:p w:rsidR="00000000" w:rsidDel="00000000" w:rsidP="00000000" w:rsidRDefault="00000000" w:rsidRPr="00000000" w14:paraId="00000060">
                  <w:pPr>
                    <w:numPr>
                      <w:ilvl w:val="0"/>
                      <w:numId w:val="4"/>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Presentación de trabajos prácticos</w:t>
                  </w:r>
                </w:p>
                <w:p w:rsidR="00000000" w:rsidDel="00000000" w:rsidP="00000000" w:rsidRDefault="00000000" w:rsidRPr="00000000" w14:paraId="00000061">
                  <w:pPr>
                    <w:numPr>
                      <w:ilvl w:val="0"/>
                      <w:numId w:val="4"/>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Aprobación  del trabajo práctico integrador individual  con nota numérica no menor a 4, o su recuperatorio.</w:t>
                  </w:r>
                </w:p>
                <w:p w:rsidR="00000000" w:rsidDel="00000000" w:rsidP="00000000" w:rsidRDefault="00000000" w:rsidRPr="00000000" w14:paraId="00000062">
                  <w:pPr>
                    <w:numPr>
                      <w:ilvl w:val="0"/>
                      <w:numId w:val="4"/>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Aprobación del coloquio integrador con una nota no inferior a 4 o su recuperatorio</w:t>
                  </w:r>
                </w:p>
                <w:p w:rsidR="00000000" w:rsidDel="00000000" w:rsidP="00000000" w:rsidRDefault="00000000" w:rsidRPr="00000000" w14:paraId="0000006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llevará adelante examen final oral.</w:t>
                  </w:r>
                </w:p>
                <w:p w:rsidR="00000000" w:rsidDel="00000000" w:rsidP="00000000" w:rsidRDefault="00000000" w:rsidRPr="00000000" w14:paraId="0000006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6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Criterios para la promoción</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66">
                  <w:pPr>
                    <w:numPr>
                      <w:ilvl w:val="0"/>
                      <w:numId w:val="7"/>
                    </w:numPr>
                    <w:spacing w:line="36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80 % de asistencia según normativa RAM</w:t>
                  </w:r>
                </w:p>
                <w:p w:rsidR="00000000" w:rsidDel="00000000" w:rsidP="00000000" w:rsidRDefault="00000000" w:rsidRPr="00000000" w14:paraId="00000067">
                  <w:pPr>
                    <w:numPr>
                      <w:ilvl w:val="0"/>
                      <w:numId w:val="7"/>
                    </w:numPr>
                    <w:spacing w:line="36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 Presentación de trabajos prácticos</w:t>
                  </w:r>
                </w:p>
                <w:p w:rsidR="00000000" w:rsidDel="00000000" w:rsidP="00000000" w:rsidRDefault="00000000" w:rsidRPr="00000000" w14:paraId="00000068">
                  <w:pPr>
                    <w:numPr>
                      <w:ilvl w:val="0"/>
                      <w:numId w:val="7"/>
                    </w:numPr>
                    <w:spacing w:line="36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 Aprobación de parcial escrito con un mínimo de 7</w:t>
                  </w:r>
                </w:p>
                <w:p w:rsidR="00000000" w:rsidDel="00000000" w:rsidP="00000000" w:rsidRDefault="00000000" w:rsidRPr="00000000" w14:paraId="00000069">
                  <w:pPr>
                    <w:numPr>
                      <w:ilvl w:val="0"/>
                      <w:numId w:val="7"/>
                    </w:numPr>
                    <w:spacing w:line="36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 Coloquio final integrador con un mínimo de siete 7</w:t>
                  </w:r>
                </w:p>
                <w:p w:rsidR="00000000" w:rsidDel="00000000" w:rsidP="00000000" w:rsidRDefault="00000000" w:rsidRPr="00000000" w14:paraId="0000006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Quienes reciban aplazos (1,2) en el trabajo práctico integrador individual quedan fuera de la posibilidad de promoción.</w:t>
                  </w:r>
                </w:p>
                <w:p w:rsidR="00000000" w:rsidDel="00000000" w:rsidP="00000000" w:rsidRDefault="00000000" w:rsidRPr="00000000" w14:paraId="0000006B">
                  <w:pPr>
                    <w:spacing w:after="100" w:before="100" w:line="3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6D">
            <w:pPr>
              <w:shd w:fill="000000" w:val="clear"/>
              <w:rPr>
                <w:b w:val="0"/>
                <w:color w:val="ffffff"/>
                <w:sz w:val="24"/>
                <w:szCs w:val="24"/>
                <w:highlight w:val="black"/>
                <w:vertAlign w:val="baseline"/>
              </w:rPr>
            </w:pPr>
            <w:r w:rsidDel="00000000" w:rsidR="00000000" w:rsidRPr="00000000">
              <w:rPr>
                <w:b w:val="1"/>
                <w:color w:val="ffffff"/>
                <w:sz w:val="24"/>
                <w:szCs w:val="24"/>
                <w:highlight w:val="black"/>
                <w:vertAlign w:val="baseline"/>
                <w:rtl w:val="0"/>
              </w:rPr>
              <w:t xml:space="preserve">6. BIBLIOGRAFÍA</w:t>
            </w:r>
            <w:r w:rsidDel="00000000" w:rsidR="00000000" w:rsidRPr="00000000">
              <w:rPr>
                <w:rtl w:val="0"/>
              </w:rPr>
            </w:r>
          </w:p>
          <w:tbl>
            <w:tblPr>
              <w:tblStyle w:val="Table9"/>
              <w:tblW w:w="9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9"/>
              <w:tblGridChange w:id="0">
                <w:tblGrid>
                  <w:gridCol w:w="9489"/>
                </w:tblGrid>
              </w:tblGridChange>
            </w:tblGrid>
            <w:tr>
              <w:tc>
                <w:tcPr>
                  <w:vAlign w:val="top"/>
                </w:tcPr>
                <w:p w:rsidR="00000000" w:rsidDel="00000000" w:rsidP="00000000" w:rsidRDefault="00000000" w:rsidRPr="00000000" w14:paraId="0000006E">
                  <w:pPr>
                    <w:jc w:val="both"/>
                    <w:rPr>
                      <w:sz w:val="24"/>
                      <w:szCs w:val="24"/>
                      <w:vertAlign w:val="baseline"/>
                    </w:rPr>
                  </w:pPr>
                  <w:r w:rsidDel="00000000" w:rsidR="00000000" w:rsidRPr="00000000">
                    <w:rPr>
                      <w:rtl w:val="0"/>
                    </w:rPr>
                  </w:r>
                </w:p>
                <w:p w:rsidR="00000000" w:rsidDel="00000000" w:rsidP="00000000" w:rsidRDefault="00000000" w:rsidRPr="00000000" w14:paraId="0000006F">
                  <w:pPr>
                    <w:numPr>
                      <w:ilvl w:val="0"/>
                      <w:numId w:val="2"/>
                    </w:numPr>
                    <w:spacing w:line="360" w:lineRule="auto"/>
                    <w:ind w:left="720" w:hanging="360"/>
                    <w:rPr>
                      <w:sz w:val="24"/>
                      <w:szCs w:val="24"/>
                      <w:highlight w:val="white"/>
                      <w:u w:val="none"/>
                    </w:rPr>
                  </w:pPr>
                  <w:r w:rsidDel="00000000" w:rsidR="00000000" w:rsidRPr="00000000">
                    <w:rPr>
                      <w:sz w:val="24"/>
                      <w:szCs w:val="24"/>
                      <w:highlight w:val="white"/>
                      <w:rtl w:val="0"/>
                    </w:rPr>
                    <w:t xml:space="preserve">As</w:t>
                  </w:r>
                  <w:r w:rsidDel="00000000" w:rsidR="00000000" w:rsidRPr="00000000">
                    <w:rPr>
                      <w:rFonts w:ascii="Garamond" w:cs="Garamond" w:eastAsia="Garamond" w:hAnsi="Garamond"/>
                      <w:sz w:val="24"/>
                      <w:szCs w:val="24"/>
                      <w:highlight w:val="white"/>
                      <w:rtl w:val="0"/>
                    </w:rPr>
                    <w:t xml:space="preserve">ociación Americana de Terapia Ocupacional. (2002). </w:t>
                  </w:r>
                  <w:r w:rsidDel="00000000" w:rsidR="00000000" w:rsidRPr="00000000">
                    <w:rPr>
                      <w:rFonts w:ascii="Garamond" w:cs="Garamond" w:eastAsia="Garamond" w:hAnsi="Garamond"/>
                      <w:i w:val="1"/>
                      <w:sz w:val="24"/>
                      <w:szCs w:val="24"/>
                      <w:highlight w:val="white"/>
                      <w:rtl w:val="0"/>
                    </w:rPr>
                    <w:t xml:space="preserve">Marco de Trabajo para la Práctica de la Terapia Ocupacional. Ámbito de Competencia y Proceso.</w:t>
                  </w:r>
                  <w:r w:rsidDel="00000000" w:rsidR="00000000" w:rsidRPr="00000000">
                    <w:rPr>
                      <w:rFonts w:ascii="Garamond" w:cs="Garamond" w:eastAsia="Garamond" w:hAnsi="Garamond"/>
                      <w:sz w:val="24"/>
                      <w:szCs w:val="24"/>
                      <w:highlight w:val="white"/>
                      <w:rtl w:val="0"/>
                    </w:rPr>
                    <w:t xml:space="preserve"> 1ra. edición. The American Journal of Occupational Therapy. US</w:t>
                  </w:r>
                </w:p>
                <w:p w:rsidR="00000000" w:rsidDel="00000000" w:rsidP="00000000" w:rsidRDefault="00000000" w:rsidRPr="00000000" w14:paraId="00000070">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Capua – Buitron (2011) .Curso introductorio “Intervención de Terapia Ocupacional en el área laboral”. Buenos Aires. Argentina</w:t>
                  </w:r>
                </w:p>
                <w:p w:rsidR="00000000" w:rsidDel="00000000" w:rsidP="00000000" w:rsidRDefault="00000000" w:rsidRPr="00000000" w14:paraId="00000071">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Naciones unidas (2008) “Convención Internacional sobre los Derechos de las Personas con Discapacidad” disponible en</w:t>
                  </w:r>
                  <w:hyperlink r:id="rId7">
                    <w:r w:rsidDel="00000000" w:rsidR="00000000" w:rsidRPr="00000000">
                      <w:rPr>
                        <w:rFonts w:ascii="Garamond" w:cs="Garamond" w:eastAsia="Garamond" w:hAnsi="Garamond"/>
                        <w:sz w:val="24"/>
                        <w:szCs w:val="24"/>
                        <w:highlight w:val="white"/>
                        <w:rtl w:val="0"/>
                      </w:rPr>
                      <w:t xml:space="preserve"> </w:t>
                    </w:r>
                  </w:hyperlink>
                  <w:hyperlink r:id="rId8">
                    <w:r w:rsidDel="00000000" w:rsidR="00000000" w:rsidRPr="00000000">
                      <w:rPr>
                        <w:rFonts w:ascii="Garamond" w:cs="Garamond" w:eastAsia="Garamond" w:hAnsi="Garamond"/>
                        <w:color w:val="1155cc"/>
                        <w:sz w:val="24"/>
                        <w:szCs w:val="24"/>
                        <w:highlight w:val="white"/>
                        <w:u w:val="single"/>
                        <w:rtl w:val="0"/>
                      </w:rPr>
                      <w:t xml:space="preserve">http://www.un.org/esa/socdev/enable/documents/tccconvs.pdf</w:t>
                    </w:r>
                  </w:hyperlink>
                  <w:r w:rsidDel="00000000" w:rsidR="00000000" w:rsidRPr="00000000">
                    <w:rPr>
                      <w:rtl w:val="0"/>
                    </w:rPr>
                  </w:r>
                </w:p>
                <w:p w:rsidR="00000000" w:rsidDel="00000000" w:rsidP="00000000" w:rsidRDefault="00000000" w:rsidRPr="00000000" w14:paraId="00000072">
                  <w:pPr>
                    <w:numPr>
                      <w:ilvl w:val="0"/>
                      <w:numId w:val="2"/>
                    </w:numPr>
                    <w:spacing w:line="360" w:lineRule="auto"/>
                    <w:ind w:left="720" w:hanging="360"/>
                    <w:rPr>
                      <w:sz w:val="24"/>
                      <w:szCs w:val="24"/>
                      <w:highlight w:val="white"/>
                      <w:u w:val="none"/>
                    </w:rPr>
                  </w:pPr>
                  <w:r w:rsidDel="00000000" w:rsidR="00000000" w:rsidRPr="00000000">
                    <w:rPr>
                      <w:rFonts w:ascii="Garamond" w:cs="Garamond" w:eastAsia="Garamond" w:hAnsi="Garamond"/>
                      <w:sz w:val="24"/>
                      <w:szCs w:val="24"/>
                      <w:highlight w:val="white"/>
                      <w:rtl w:val="0"/>
                    </w:rPr>
                    <w:t xml:space="preserve">El Cisne</w:t>
                  </w:r>
                  <w:r w:rsidDel="00000000" w:rsidR="00000000" w:rsidRPr="00000000">
                    <w:rPr>
                      <w:rFonts w:ascii="Garamond" w:cs="Garamond" w:eastAsia="Garamond" w:hAnsi="Garamond"/>
                      <w:b w:val="1"/>
                      <w:sz w:val="24"/>
                      <w:szCs w:val="24"/>
                      <w:highlight w:val="white"/>
                      <w:rtl w:val="0"/>
                    </w:rPr>
                    <w:t xml:space="preserve"> </w:t>
                  </w:r>
                  <w:r w:rsidDel="00000000" w:rsidR="00000000" w:rsidRPr="00000000">
                    <w:rPr>
                      <w:rFonts w:ascii="Garamond" w:cs="Garamond" w:eastAsia="Garamond" w:hAnsi="Garamond"/>
                      <w:sz w:val="24"/>
                      <w:szCs w:val="24"/>
                      <w:highlight w:val="white"/>
                      <w:rtl w:val="0"/>
                    </w:rPr>
                    <w:t xml:space="preserve">(2010)</w:t>
                  </w:r>
                  <w:r w:rsidDel="00000000" w:rsidR="00000000" w:rsidRPr="00000000">
                    <w:rPr>
                      <w:rFonts w:ascii="Garamond" w:cs="Garamond" w:eastAsia="Garamond" w:hAnsi="Garamond"/>
                      <w:b w:val="1"/>
                      <w:sz w:val="24"/>
                      <w:szCs w:val="24"/>
                      <w:highlight w:val="white"/>
                      <w:rtl w:val="0"/>
                    </w:rPr>
                    <w:t xml:space="preserve"> </w:t>
                  </w:r>
                  <w:r w:rsidDel="00000000" w:rsidR="00000000" w:rsidRPr="00000000">
                    <w:rPr>
                      <w:rFonts w:ascii="Garamond" w:cs="Garamond" w:eastAsia="Garamond" w:hAnsi="Garamond"/>
                      <w:sz w:val="24"/>
                      <w:szCs w:val="24"/>
                      <w:highlight w:val="white"/>
                      <w:rtl w:val="0"/>
                    </w:rPr>
                    <w:t xml:space="preserve">“El envejecimiento de la persona con discapacidad, y la preocupación de lo que ocurrirá cuando sus padres no estén”. Año XX- Nº 239</w:t>
                  </w:r>
                </w:p>
                <w:p w:rsidR="00000000" w:rsidDel="00000000" w:rsidP="00000000" w:rsidRDefault="00000000" w:rsidRPr="00000000" w14:paraId="00000073">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Fundación Par (2006) “La discapacidad en Argentina: un diagnóstico de situación y políticas públicas vigentes. CABA. Argentina</w:t>
                  </w:r>
                </w:p>
                <w:p w:rsidR="00000000" w:rsidDel="00000000" w:rsidP="00000000" w:rsidRDefault="00000000" w:rsidRPr="00000000" w14:paraId="00000074">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Franco Bagher E.“Terapia Ocupacional en Rehabilitación Laboral”.TOG(A Coruña) (Revista en Internet).2009; vol 6, supl.5; p 45-67. disponible en</w:t>
                  </w:r>
                  <w:hyperlink r:id="rId9">
                    <w:r w:rsidDel="00000000" w:rsidR="00000000" w:rsidRPr="00000000">
                      <w:rPr>
                        <w:rFonts w:ascii="Garamond" w:cs="Garamond" w:eastAsia="Garamond" w:hAnsi="Garamond"/>
                        <w:sz w:val="24"/>
                        <w:szCs w:val="24"/>
                        <w:highlight w:val="white"/>
                        <w:rtl w:val="0"/>
                      </w:rPr>
                      <w:t xml:space="preserve"> </w:t>
                    </w:r>
                  </w:hyperlink>
                  <w:hyperlink r:id="rId10">
                    <w:r w:rsidDel="00000000" w:rsidR="00000000" w:rsidRPr="00000000">
                      <w:rPr>
                        <w:rFonts w:ascii="Garamond" w:cs="Garamond" w:eastAsia="Garamond" w:hAnsi="Garamond"/>
                        <w:color w:val="1155cc"/>
                        <w:sz w:val="24"/>
                        <w:szCs w:val="24"/>
                        <w:highlight w:val="white"/>
                        <w:u w:val="single"/>
                        <w:rtl w:val="0"/>
                      </w:rPr>
                      <w:t xml:space="preserve">http://www.revistatog.com/suple/num5/rhbl.pdf</w:t>
                    </w:r>
                  </w:hyperlink>
                  <w:r w:rsidDel="00000000" w:rsidR="00000000" w:rsidRPr="00000000">
                    <w:rPr>
                      <w:rtl w:val="0"/>
                    </w:rPr>
                  </w:r>
                </w:p>
                <w:p w:rsidR="00000000" w:rsidDel="00000000" w:rsidP="00000000" w:rsidRDefault="00000000" w:rsidRPr="00000000" w14:paraId="00000075">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Gturbide Rodrigo, Serrano Mujika(2004) “Manual de orientación laboral para personas con discapacidad” Loiu (Bizkaia). España</w:t>
                  </w:r>
                </w:p>
                <w:p w:rsidR="00000000" w:rsidDel="00000000" w:rsidP="00000000" w:rsidRDefault="00000000" w:rsidRPr="00000000" w14:paraId="00000076">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Ley 26.816 (2012) Régimen federal de empleo protegido para personas con discapacidad. Disponible en </w:t>
                  </w:r>
                  <w:hyperlink r:id="rId11">
                    <w:r w:rsidDel="00000000" w:rsidR="00000000" w:rsidRPr="00000000">
                      <w:rPr>
                        <w:rFonts w:ascii="Garamond" w:cs="Garamond" w:eastAsia="Garamond" w:hAnsi="Garamond"/>
                        <w:color w:val="1155cc"/>
                        <w:sz w:val="24"/>
                        <w:szCs w:val="24"/>
                        <w:highlight w:val="white"/>
                        <w:u w:val="single"/>
                        <w:rtl w:val="0"/>
                      </w:rPr>
                      <w:t xml:space="preserve">http://www.infoleg.gob.ar/infolegInternet/anexos/205000-209999/207088/norma.htm</w:t>
                    </w:r>
                  </w:hyperlink>
                  <w:r w:rsidDel="00000000" w:rsidR="00000000" w:rsidRPr="00000000">
                    <w:rPr>
                      <w:rtl w:val="0"/>
                    </w:rPr>
                  </w:r>
                </w:p>
                <w:p w:rsidR="00000000" w:rsidDel="00000000" w:rsidP="00000000" w:rsidRDefault="00000000" w:rsidRPr="00000000" w14:paraId="00000077">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Ley nacional 22.431 (1981) “Sistema de protección integral de los discapacitados”</w:t>
                  </w:r>
                </w:p>
                <w:p w:rsidR="00000000" w:rsidDel="00000000" w:rsidP="00000000" w:rsidRDefault="00000000" w:rsidRPr="00000000" w14:paraId="00000078">
                  <w:pPr>
                    <w:numPr>
                      <w:ilvl w:val="0"/>
                      <w:numId w:val="2"/>
                    </w:numPr>
                    <w:spacing w:line="360" w:lineRule="auto"/>
                    <w:ind w:left="72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Lopez fragua y otros (2004) “ La planificación centrada en la Persona, una metodología coherente con el respeto al derecho de la autodeterminación” Revista española sobre discapacidad intelectual”.volumen 35. España</w:t>
                  </w:r>
                </w:p>
                <w:p w:rsidR="00000000" w:rsidDel="00000000" w:rsidP="00000000" w:rsidRDefault="00000000" w:rsidRPr="00000000" w14:paraId="00000079">
                  <w:pPr>
                    <w:numPr>
                      <w:ilvl w:val="0"/>
                      <w:numId w:val="2"/>
                    </w:numPr>
                    <w:spacing w:line="360" w:lineRule="auto"/>
                    <w:ind w:left="72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Ludeña, A (2004) La Formación por Competencias Laborales. Guía Técnico – Pedagógica para Docentes de Formación profesional Edit CAPLAB Lima. Perú</w:t>
                  </w:r>
                </w:p>
                <w:p w:rsidR="00000000" w:rsidDel="00000000" w:rsidP="00000000" w:rsidRDefault="00000000" w:rsidRPr="00000000" w14:paraId="0000007A">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Ministerio de educación.(1981)Muestras de trabajo en el proceso de orientación y formación laboral en alumnos de educación especial. Buenos Aires. Argentina</w:t>
                  </w:r>
                </w:p>
                <w:p w:rsidR="00000000" w:rsidDel="00000000" w:rsidP="00000000" w:rsidRDefault="00000000" w:rsidRPr="00000000" w14:paraId="0000007B">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Ministerio de Educación Dirección General de Educación Inclusiva. “Hacia la Escuela de Formación Integral. Provincia de Chubut</w:t>
                  </w:r>
                </w:p>
                <w:p w:rsidR="00000000" w:rsidDel="00000000" w:rsidP="00000000" w:rsidRDefault="00000000" w:rsidRPr="00000000" w14:paraId="0000007C">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Organización Internacional del Trabajo (2013) “</w:t>
                  </w:r>
                  <w:r w:rsidDel="00000000" w:rsidR="00000000" w:rsidRPr="00000000">
                    <w:rPr>
                      <w:rFonts w:ascii="Garamond" w:cs="Garamond" w:eastAsia="Garamond" w:hAnsi="Garamond"/>
                      <w:i w:val="1"/>
                      <w:sz w:val="24"/>
                      <w:szCs w:val="24"/>
                      <w:highlight w:val="white"/>
                      <w:rtl w:val="0"/>
                    </w:rPr>
                    <w:t xml:space="preserve">Empresa Inclusiva: Guía para la contratación de personas con discapacidad”</w:t>
                  </w:r>
                  <w:r w:rsidDel="00000000" w:rsidR="00000000" w:rsidRPr="00000000">
                    <w:rPr>
                      <w:rFonts w:ascii="Garamond" w:cs="Garamond" w:eastAsia="Garamond" w:hAnsi="Garamond"/>
                      <w:sz w:val="24"/>
                      <w:szCs w:val="24"/>
                      <w:highlight w:val="white"/>
                      <w:rtl w:val="0"/>
                    </w:rPr>
                    <w:t xml:space="preserve"> .Santiago de chile</w:t>
                  </w:r>
                </w:p>
                <w:p w:rsidR="00000000" w:rsidDel="00000000" w:rsidP="00000000" w:rsidRDefault="00000000" w:rsidRPr="00000000" w14:paraId="0000007D">
                  <w:pPr>
                    <w:numPr>
                      <w:ilvl w:val="0"/>
                      <w:numId w:val="2"/>
                    </w:numPr>
                    <w:spacing w:line="360" w:lineRule="auto"/>
                    <w:ind w:left="72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Perkins “Proceso de transición de la vida adulta”.fundación ONCE América Latina. </w:t>
                  </w:r>
                  <w:hyperlink r:id="rId12">
                    <w:r w:rsidDel="00000000" w:rsidR="00000000" w:rsidRPr="00000000">
                      <w:rPr>
                        <w:rFonts w:ascii="Garamond" w:cs="Garamond" w:eastAsia="Garamond" w:hAnsi="Garamond"/>
                        <w:color w:val="1155cc"/>
                        <w:sz w:val="24"/>
                        <w:szCs w:val="24"/>
                        <w:highlight w:val="white"/>
                        <w:u w:val="single"/>
                        <w:rtl w:val="0"/>
                      </w:rPr>
                      <w:t xml:space="preserve">www.perkins.org</w:t>
                    </w:r>
                  </w:hyperlink>
                  <w:r w:rsidDel="00000000" w:rsidR="00000000" w:rsidRPr="00000000">
                    <w:rPr>
                      <w:rtl w:val="0"/>
                    </w:rPr>
                  </w:r>
                </w:p>
                <w:p w:rsidR="00000000" w:rsidDel="00000000" w:rsidP="00000000" w:rsidRDefault="00000000" w:rsidRPr="00000000" w14:paraId="0000007E">
                  <w:pPr>
                    <w:numPr>
                      <w:ilvl w:val="0"/>
                      <w:numId w:val="2"/>
                    </w:numPr>
                    <w:spacing w:line="360" w:lineRule="auto"/>
                    <w:ind w:left="72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Perkins (2014)”Transición a la vida adulta de jóvenes y adultos con discapacidad múltiple y sordoceguera” disponible en :www.perkinsla.org</w:t>
                  </w:r>
                </w:p>
                <w:p w:rsidR="00000000" w:rsidDel="00000000" w:rsidP="00000000" w:rsidRDefault="00000000" w:rsidRPr="00000000" w14:paraId="0000007F">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Pujol, Jaime. (1987). </w:t>
                  </w:r>
                  <w:r w:rsidDel="00000000" w:rsidR="00000000" w:rsidRPr="00000000">
                    <w:rPr>
                      <w:rFonts w:ascii="Garamond" w:cs="Garamond" w:eastAsia="Garamond" w:hAnsi="Garamond"/>
                      <w:i w:val="1"/>
                      <w:sz w:val="24"/>
                      <w:szCs w:val="24"/>
                      <w:highlight w:val="white"/>
                      <w:rtl w:val="0"/>
                    </w:rPr>
                    <w:t xml:space="preserve">Análisis Ocupacional</w:t>
                  </w:r>
                  <w:r w:rsidDel="00000000" w:rsidR="00000000" w:rsidRPr="00000000">
                    <w:rPr>
                      <w:rFonts w:ascii="Garamond" w:cs="Garamond" w:eastAsia="Garamond" w:hAnsi="Garamond"/>
                      <w:sz w:val="24"/>
                      <w:szCs w:val="24"/>
                      <w:highlight w:val="white"/>
                      <w:rtl w:val="0"/>
                    </w:rPr>
                    <w:t xml:space="preserve">. Ed. Cinterfor, OIT.</w:t>
                  </w:r>
                </w:p>
                <w:p w:rsidR="00000000" w:rsidDel="00000000" w:rsidP="00000000" w:rsidRDefault="00000000" w:rsidRPr="00000000" w14:paraId="00000080">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Recomendación Nº 99 OIT. (1955) “Recomendación sobre la adaptación y readaptación de los inválidos”</w:t>
                  </w:r>
                </w:p>
                <w:p w:rsidR="00000000" w:rsidDel="00000000" w:rsidP="00000000" w:rsidRDefault="00000000" w:rsidRPr="00000000" w14:paraId="00000081">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Recomendación Nº 168</w:t>
                  </w:r>
                  <w:r w:rsidDel="00000000" w:rsidR="00000000" w:rsidRPr="00000000">
                    <w:rPr>
                      <w:rFonts w:ascii="Garamond" w:cs="Garamond" w:eastAsia="Garamond" w:hAnsi="Garamond"/>
                      <w:b w:val="1"/>
                      <w:sz w:val="24"/>
                      <w:szCs w:val="24"/>
                      <w:highlight w:val="white"/>
                      <w:rtl w:val="0"/>
                    </w:rPr>
                    <w:t xml:space="preserve"> </w:t>
                  </w:r>
                  <w:r w:rsidDel="00000000" w:rsidR="00000000" w:rsidRPr="00000000">
                    <w:rPr>
                      <w:rFonts w:ascii="Garamond" w:cs="Garamond" w:eastAsia="Garamond" w:hAnsi="Garamond"/>
                      <w:sz w:val="24"/>
                      <w:szCs w:val="24"/>
                      <w:highlight w:val="white"/>
                      <w:rtl w:val="0"/>
                    </w:rPr>
                    <w:t xml:space="preserve">OIT.(1983) “Recomendación sobre la readaptación profesional y el empleo de las personas invalidas”.</w:t>
                  </w:r>
                </w:p>
                <w:p w:rsidR="00000000" w:rsidDel="00000000" w:rsidP="00000000" w:rsidRDefault="00000000" w:rsidRPr="00000000" w14:paraId="00000082">
                  <w:pPr>
                    <w:numPr>
                      <w:ilvl w:val="0"/>
                      <w:numId w:val="2"/>
                    </w:numPr>
                    <w:spacing w:line="360" w:lineRule="auto"/>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Romero Ayuso, D y Moruno Miralles, P. “Actividades de la vida diaria”. Edit Masson. Barcelona,  España. 2006.</w:t>
                  </w:r>
                </w:p>
                <w:p w:rsidR="00000000" w:rsidDel="00000000" w:rsidP="00000000" w:rsidRDefault="00000000" w:rsidRPr="00000000" w14:paraId="00000083">
                  <w:pPr>
                    <w:spacing w:line="360" w:lineRule="auto"/>
                    <w:jc w:val="both"/>
                    <w:rPr>
                      <w:rFonts w:ascii="Garamond" w:cs="Garamond" w:eastAsia="Garamond" w:hAnsi="Garamond"/>
                      <w:color w:val="292926"/>
                    </w:rPr>
                  </w:pPr>
                  <w:r w:rsidDel="00000000" w:rsidR="00000000" w:rsidRPr="00000000">
                    <w:rPr>
                      <w:rFonts w:ascii="Garamond" w:cs="Garamond" w:eastAsia="Garamond" w:hAnsi="Garamond"/>
                      <w:color w:val="292926"/>
                      <w:rtl w:val="0"/>
                    </w:rPr>
                    <w:t xml:space="preserve"> </w:t>
                  </w:r>
                </w:p>
                <w:p w:rsidR="00000000" w:rsidDel="00000000" w:rsidP="00000000" w:rsidRDefault="00000000" w:rsidRPr="00000000" w14:paraId="0000008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85">
                  <w:pPr>
                    <w:spacing w:line="360" w:lineRule="auto"/>
                    <w:jc w:val="both"/>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rPr>
                <w:b w:val="0"/>
                <w:sz w:val="24"/>
                <w:szCs w:val="24"/>
                <w:vertAlign w:val="baseline"/>
              </w:rPr>
            </w:pPr>
            <w:r w:rsidDel="00000000" w:rsidR="00000000" w:rsidRPr="00000000">
              <w:rPr>
                <w:rtl w:val="0"/>
              </w:rPr>
            </w:r>
          </w:p>
          <w:p w:rsidR="00000000" w:rsidDel="00000000" w:rsidP="00000000" w:rsidRDefault="00000000" w:rsidRPr="00000000" w14:paraId="00000088">
            <w:pPr>
              <w:shd w:fill="000000" w:val="clear"/>
              <w:rPr>
                <w:b w:val="0"/>
                <w:color w:val="ffffff"/>
                <w:sz w:val="24"/>
                <w:szCs w:val="24"/>
                <w:highlight w:val="black"/>
                <w:vertAlign w:val="baseline"/>
              </w:rPr>
            </w:pPr>
            <w:r w:rsidDel="00000000" w:rsidR="00000000" w:rsidRPr="00000000">
              <w:rPr>
                <w:b w:val="1"/>
                <w:color w:val="ffffff"/>
                <w:sz w:val="24"/>
                <w:szCs w:val="24"/>
                <w:highlight w:val="black"/>
                <w:vertAlign w:val="baseline"/>
                <w:rtl w:val="0"/>
              </w:rPr>
              <w:t xml:space="preserve">7. ANEXO (CONTRATO DIDÁCTICO)</w:t>
            </w:r>
            <w:r w:rsidDel="00000000" w:rsidR="00000000" w:rsidRPr="00000000">
              <w:rPr>
                <w:rtl w:val="0"/>
              </w:rPr>
            </w:r>
          </w:p>
          <w:tbl>
            <w:tblPr>
              <w:tblStyle w:val="Table10"/>
              <w:tblW w:w="9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9"/>
              <w:tblGridChange w:id="0">
                <w:tblGrid>
                  <w:gridCol w:w="9489"/>
                </w:tblGrid>
              </w:tblGridChange>
            </w:tblGrid>
            <w:tr>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adjunta copia</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C">
            <w:pPr>
              <w:rPr>
                <w:sz w:val="24"/>
                <w:szCs w:val="24"/>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8E">
            <w:pPr>
              <w:rPr>
                <w:sz w:val="24"/>
                <w:szCs w:val="24"/>
                <w:vertAlign w:val="baseline"/>
              </w:rPr>
            </w:pPr>
            <w:r w:rsidDel="00000000" w:rsidR="00000000" w:rsidRPr="00000000">
              <w:rPr>
                <w:rtl w:val="0"/>
              </w:rPr>
            </w:r>
          </w:p>
          <w:p w:rsidR="00000000" w:rsidDel="00000000" w:rsidP="00000000" w:rsidRDefault="00000000" w:rsidRPr="00000000" w14:paraId="0000008F">
            <w:pPr>
              <w:rPr>
                <w:sz w:val="24"/>
                <w:szCs w:val="24"/>
                <w:vertAlign w:val="baseline"/>
              </w:rPr>
            </w:pPr>
            <w:r w:rsidDel="00000000" w:rsidR="00000000" w:rsidRPr="00000000">
              <w:rPr>
                <w:sz w:val="24"/>
                <w:szCs w:val="24"/>
                <w:vertAlign w:val="baseline"/>
                <w:rtl w:val="0"/>
              </w:rPr>
              <w:t xml:space="preserve">Año: 201</w:t>
            </w:r>
            <w:r w:rsidDel="00000000" w:rsidR="00000000" w:rsidRPr="00000000">
              <w:rPr>
                <w:sz w:val="24"/>
                <w:szCs w:val="24"/>
                <w:rtl w:val="0"/>
              </w:rPr>
              <w:t xml:space="preserve">9</w:t>
            </w:r>
            <w:r w:rsidDel="00000000" w:rsidR="00000000" w:rsidRPr="00000000">
              <w:rPr>
                <w:rtl w:val="0"/>
              </w:rPr>
            </w:r>
          </w:p>
          <w:p w:rsidR="00000000" w:rsidDel="00000000" w:rsidP="00000000" w:rsidRDefault="00000000" w:rsidRPr="00000000" w14:paraId="00000090">
            <w:pPr>
              <w:rPr>
                <w:sz w:val="24"/>
                <w:szCs w:val="24"/>
                <w:vertAlign w:val="baseline"/>
              </w:rPr>
            </w:pPr>
            <w:r w:rsidDel="00000000" w:rsidR="00000000" w:rsidRPr="00000000">
              <w:rPr>
                <w:sz w:val="24"/>
                <w:szCs w:val="24"/>
                <w:vertAlign w:val="baseline"/>
                <w:rtl w:val="0"/>
              </w:rPr>
              <w:t xml:space="preserve">Firma del Equipo Docente:</w:t>
            </w:r>
          </w:p>
          <w:p w:rsidR="00000000" w:rsidDel="00000000" w:rsidP="00000000" w:rsidRDefault="00000000" w:rsidRPr="00000000" w14:paraId="00000091">
            <w:pPr>
              <w:rPr>
                <w:sz w:val="24"/>
                <w:szCs w:val="24"/>
                <w:vertAlign w:val="baseline"/>
              </w:rPr>
            </w:pPr>
            <w:r w:rsidDel="00000000" w:rsidR="00000000" w:rsidRPr="00000000">
              <w:rPr>
                <w:rtl w:val="0"/>
              </w:rPr>
            </w:r>
          </w:p>
          <w:p w:rsidR="00000000" w:rsidDel="00000000" w:rsidP="00000000" w:rsidRDefault="00000000" w:rsidRPr="00000000" w14:paraId="00000092">
            <w:pPr>
              <w:rPr>
                <w:sz w:val="24"/>
                <w:szCs w:val="24"/>
                <w:vertAlign w:val="baseline"/>
              </w:rPr>
            </w:pPr>
            <w:r w:rsidDel="00000000" w:rsidR="00000000" w:rsidRPr="00000000">
              <w:rPr>
                <w:rtl w:val="0"/>
              </w:rPr>
            </w:r>
          </w:p>
          <w:p w:rsidR="00000000" w:rsidDel="00000000" w:rsidP="00000000" w:rsidRDefault="00000000" w:rsidRPr="00000000" w14:paraId="00000093">
            <w:pPr>
              <w:rPr>
                <w:sz w:val="24"/>
                <w:szCs w:val="24"/>
                <w:vertAlign w:val="baseline"/>
              </w:rPr>
            </w:pPr>
            <w:r w:rsidDel="00000000" w:rsidR="00000000" w:rsidRPr="00000000">
              <w:rPr>
                <w:rtl w:val="0"/>
              </w:rPr>
            </w:r>
          </w:p>
          <w:p w:rsidR="00000000" w:rsidDel="00000000" w:rsidP="00000000" w:rsidRDefault="00000000" w:rsidRPr="00000000" w14:paraId="00000094">
            <w:pPr>
              <w:rPr>
                <w:sz w:val="24"/>
                <w:szCs w:val="24"/>
                <w:vertAlign w:val="baseline"/>
              </w:rPr>
            </w:pPr>
            <w:r w:rsidDel="00000000" w:rsidR="00000000" w:rsidRPr="00000000">
              <w:rPr>
                <w:rtl w:val="0"/>
              </w:rPr>
            </w:r>
          </w:p>
          <w:p w:rsidR="00000000" w:rsidDel="00000000" w:rsidP="00000000" w:rsidRDefault="00000000" w:rsidRPr="00000000" w14:paraId="00000095">
            <w:pPr>
              <w:rPr>
                <w:sz w:val="24"/>
                <w:szCs w:val="24"/>
                <w:vertAlign w:val="baseline"/>
              </w:rPr>
            </w:pPr>
            <w:r w:rsidDel="00000000" w:rsidR="00000000" w:rsidRPr="00000000">
              <w:rPr>
                <w:rtl w:val="0"/>
              </w:rPr>
            </w:r>
          </w:p>
          <w:p w:rsidR="00000000" w:rsidDel="00000000" w:rsidP="00000000" w:rsidRDefault="00000000" w:rsidRPr="00000000" w14:paraId="00000096">
            <w:pPr>
              <w:rPr>
                <w:sz w:val="24"/>
                <w:szCs w:val="24"/>
                <w:vertAlign w:val="baseline"/>
              </w:rPr>
            </w:pPr>
            <w:r w:rsidDel="00000000" w:rsidR="00000000" w:rsidRPr="00000000">
              <w:rPr>
                <w:rtl w:val="0"/>
              </w:rPr>
            </w:r>
          </w:p>
          <w:p w:rsidR="00000000" w:rsidDel="00000000" w:rsidP="00000000" w:rsidRDefault="00000000" w:rsidRPr="00000000" w14:paraId="00000097">
            <w:pPr>
              <w:rPr>
                <w:sz w:val="24"/>
                <w:szCs w:val="24"/>
                <w:vertAlign w:val="baseline"/>
              </w:rPr>
            </w:pPr>
            <w:r w:rsidDel="00000000" w:rsidR="00000000" w:rsidRPr="00000000">
              <w:rPr>
                <w:rtl w:val="0"/>
              </w:rPr>
            </w:r>
          </w:p>
          <w:p w:rsidR="00000000" w:rsidDel="00000000" w:rsidP="00000000" w:rsidRDefault="00000000" w:rsidRPr="00000000" w14:paraId="00000098">
            <w:pPr>
              <w:jc w:val="both"/>
              <w:rPr>
                <w:sz w:val="24"/>
                <w:szCs w:val="24"/>
                <w:vertAlign w:val="baseline"/>
              </w:rPr>
            </w:pPr>
            <w:r w:rsidDel="00000000" w:rsidR="00000000" w:rsidRPr="00000000">
              <w:rPr>
                <w:rtl w:val="0"/>
              </w:rPr>
            </w:r>
          </w:p>
        </w:tc>
      </w:tr>
    </w:tbl>
    <w:p w:rsidR="00000000" w:rsidDel="00000000" w:rsidP="00000000" w:rsidRDefault="00000000" w:rsidRPr="00000000" w14:paraId="0000009A">
      <w:pPr>
        <w:rPr>
          <w:sz w:val="24"/>
          <w:szCs w:val="24"/>
          <w:vertAlign w:val="baseline"/>
        </w:rPr>
      </w:pPr>
      <w:r w:rsidDel="00000000" w:rsidR="00000000" w:rsidRPr="00000000">
        <w:rPr>
          <w:rtl w:val="0"/>
        </w:rPr>
      </w:r>
    </w:p>
    <w:sectPr>
      <w:footerReference r:id="rId13" w:type="default"/>
      <w:pgSz w:h="16837" w:w="11905"/>
      <w:pgMar w:bottom="1418" w:top="1418" w:left="1418"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mic Sans MS"/>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nfoleg.gob.ar/infolegInternet/anexos/205000-209999/207088/norma.htm" TargetMode="External"/><Relationship Id="rId10" Type="http://schemas.openxmlformats.org/officeDocument/2006/relationships/hyperlink" Target="http://www.revistatog.com/suple/num5/rhbl.pdf" TargetMode="External"/><Relationship Id="rId13" Type="http://schemas.openxmlformats.org/officeDocument/2006/relationships/footer" Target="footer1.xml"/><Relationship Id="rId12" Type="http://schemas.openxmlformats.org/officeDocument/2006/relationships/hyperlink" Target="http://www.perkin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vistatog.com/suple/num5/rhbl.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n.org/esa/socdev/enable/documents/tccconvs.pdf" TargetMode="External"/><Relationship Id="rId8" Type="http://schemas.openxmlformats.org/officeDocument/2006/relationships/hyperlink" Target="http://www.un.org/esa/socdev/enable/documents/tccconv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